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A2391" w14:textId="77777777" w:rsidR="00933743" w:rsidRPr="0009669D" w:rsidRDefault="00933743" w:rsidP="0070319D">
      <w:pPr>
        <w:pStyle w:val="Ttulo1"/>
        <w:rPr>
          <w:lang w:val="en-GB"/>
        </w:rPr>
      </w:pPr>
      <w:r w:rsidRPr="0009669D">
        <w:rPr>
          <w:lang w:val="en-GB"/>
        </w:rPr>
        <w:t>THE LAW OF GIBRAT APPLIED IN THE MANUFACTURING SMES OF ECUADOR</w:t>
      </w:r>
    </w:p>
    <w:p w14:paraId="698A1BFC" w14:textId="77777777" w:rsidR="00933743" w:rsidRPr="0009669D" w:rsidRDefault="00933743" w:rsidP="0070319D">
      <w:pPr>
        <w:spacing w:after="0"/>
        <w:ind w:firstLine="0"/>
        <w:rPr>
          <w:b/>
          <w:lang w:val="en-GB"/>
        </w:rPr>
      </w:pPr>
    </w:p>
    <w:p w14:paraId="62C0D510" w14:textId="77777777" w:rsidR="00D93CAC" w:rsidRPr="0009669D" w:rsidRDefault="00B30796" w:rsidP="0070319D">
      <w:pPr>
        <w:spacing w:after="0"/>
        <w:ind w:firstLine="0"/>
        <w:rPr>
          <w:b/>
          <w:lang w:val="en-GB"/>
        </w:rPr>
      </w:pPr>
      <w:r w:rsidRPr="0009669D">
        <w:rPr>
          <w:b/>
          <w:lang w:val="en-GB"/>
        </w:rPr>
        <w:t>Abstract</w:t>
      </w:r>
      <w:r w:rsidR="007E0213" w:rsidRPr="0009669D">
        <w:rPr>
          <w:b/>
          <w:lang w:val="en-GB"/>
        </w:rPr>
        <w:t>:</w:t>
      </w:r>
    </w:p>
    <w:p w14:paraId="79061CB2" w14:textId="29BACBD8" w:rsidR="007E0213" w:rsidRPr="0009669D" w:rsidRDefault="007E0213" w:rsidP="0070319D">
      <w:pPr>
        <w:spacing w:after="0"/>
        <w:ind w:firstLine="0"/>
        <w:rPr>
          <w:lang w:val="en-GB"/>
        </w:rPr>
      </w:pPr>
      <w:r w:rsidRPr="0009669D">
        <w:rPr>
          <w:lang w:val="en-GB"/>
        </w:rPr>
        <w:t xml:space="preserve">The present investigation </w:t>
      </w:r>
      <w:r w:rsidR="0009669D" w:rsidRPr="0009669D">
        <w:rPr>
          <w:lang w:val="en-GB"/>
        </w:rPr>
        <w:t>analyses</w:t>
      </w:r>
      <w:r w:rsidRPr="0009669D">
        <w:rPr>
          <w:lang w:val="en-GB"/>
        </w:rPr>
        <w:t xml:space="preserve"> the relationship between the size of the companies and their growth in contrast to Gibrat's law, for which it </w:t>
      </w:r>
      <w:r w:rsidR="0009669D" w:rsidRPr="0009669D">
        <w:rPr>
          <w:lang w:val="en-GB"/>
        </w:rPr>
        <w:t>analyses</w:t>
      </w:r>
      <w:r w:rsidRPr="0009669D">
        <w:rPr>
          <w:lang w:val="en-GB"/>
        </w:rPr>
        <w:t xml:space="preserve"> a sample of 2,915 Ecuadorian manuf</w:t>
      </w:r>
      <w:r w:rsidR="002D5BE5">
        <w:rPr>
          <w:lang w:val="en-GB"/>
        </w:rPr>
        <w:t>acturing companies during</w:t>
      </w:r>
      <w:r w:rsidRPr="0009669D">
        <w:rPr>
          <w:lang w:val="en-GB"/>
        </w:rPr>
        <w:t xml:space="preserve"> 2012-2016. We apply regression by quantiles for panel data in order to establish the effect of variables with business characteristics and financial performance on the company's growth measured through sales and the number of employees. The results show that smaller companies grow at higher rates than larg</w:t>
      </w:r>
      <w:bookmarkStart w:id="0" w:name="_GoBack"/>
      <w:bookmarkEnd w:id="0"/>
      <w:r w:rsidRPr="0009669D">
        <w:rPr>
          <w:lang w:val="en-GB"/>
        </w:rPr>
        <w:t>er companies. This evidence allows us to reject Gibrat's law since there is a negative relationship between the size and growth of manufacturing companies.</w:t>
      </w:r>
    </w:p>
    <w:p w14:paraId="2CCB1A43" w14:textId="77777777" w:rsidR="00D93CAC" w:rsidRPr="0009669D" w:rsidRDefault="00D93CAC" w:rsidP="0070319D">
      <w:pPr>
        <w:spacing w:after="0"/>
        <w:ind w:firstLine="0"/>
        <w:rPr>
          <w:b/>
          <w:lang w:val="en-GB"/>
        </w:rPr>
      </w:pPr>
    </w:p>
    <w:p w14:paraId="112C2FBA" w14:textId="5FFB723D" w:rsidR="007E0213" w:rsidRDefault="007E0213" w:rsidP="0070319D">
      <w:pPr>
        <w:spacing w:after="0"/>
        <w:ind w:firstLine="0"/>
        <w:rPr>
          <w:lang w:val="en-GB"/>
        </w:rPr>
      </w:pPr>
      <w:r w:rsidRPr="0009669D">
        <w:rPr>
          <w:b/>
          <w:lang w:val="en-GB"/>
        </w:rPr>
        <w:t xml:space="preserve">Keywords: </w:t>
      </w:r>
      <w:r w:rsidRPr="0009669D">
        <w:rPr>
          <w:lang w:val="en-GB"/>
        </w:rPr>
        <w:t>Gibrat’s Law, manufacturing, size, business growth, SMEs, Ecuador.</w:t>
      </w:r>
    </w:p>
    <w:p w14:paraId="7DE790E1" w14:textId="09CAC35E" w:rsidR="00461F2B" w:rsidRDefault="00461F2B" w:rsidP="0070319D">
      <w:pPr>
        <w:spacing w:after="0"/>
        <w:ind w:firstLine="0"/>
        <w:rPr>
          <w:lang w:val="en-GB"/>
        </w:rPr>
      </w:pPr>
      <w:r w:rsidRPr="00461F2B">
        <w:rPr>
          <w:b/>
          <w:lang w:val="en-GB"/>
        </w:rPr>
        <w:t>JEL Classifications</w:t>
      </w:r>
      <w:r>
        <w:rPr>
          <w:b/>
          <w:lang w:val="en-GB"/>
        </w:rPr>
        <w:t>:</w:t>
      </w:r>
      <w:r>
        <w:rPr>
          <w:lang w:val="en-GB"/>
        </w:rPr>
        <w:t xml:space="preserve"> D21 L11 L25 L26</w:t>
      </w:r>
    </w:p>
    <w:p w14:paraId="71DAF982" w14:textId="67CE639F" w:rsidR="00CB7626" w:rsidRDefault="00CB7626" w:rsidP="0070319D">
      <w:pPr>
        <w:spacing w:after="0"/>
        <w:ind w:firstLine="0"/>
        <w:rPr>
          <w:lang w:val="en-GB"/>
        </w:rPr>
      </w:pPr>
      <w:r w:rsidRPr="00E11561">
        <w:rPr>
          <w:b/>
          <w:lang w:val="en-GB"/>
        </w:rPr>
        <w:t>Area</w:t>
      </w:r>
      <w:r>
        <w:rPr>
          <w:lang w:val="en-GB"/>
        </w:rPr>
        <w:t>: 1</w:t>
      </w:r>
    </w:p>
    <w:p w14:paraId="661DED57" w14:textId="1C8F0644" w:rsidR="00CB7626" w:rsidRPr="0009669D" w:rsidRDefault="00CB7626" w:rsidP="0070319D">
      <w:pPr>
        <w:spacing w:after="0"/>
        <w:ind w:firstLine="0"/>
        <w:rPr>
          <w:lang w:val="en-GB"/>
        </w:rPr>
      </w:pPr>
      <w:proofErr w:type="spellStart"/>
      <w:r w:rsidRPr="00E11561">
        <w:rPr>
          <w:b/>
          <w:lang w:val="en-GB"/>
        </w:rPr>
        <w:t>Tipo</w:t>
      </w:r>
      <w:proofErr w:type="spellEnd"/>
      <w:r>
        <w:rPr>
          <w:lang w:val="en-GB"/>
        </w:rPr>
        <w:t xml:space="preserve">: </w:t>
      </w:r>
      <w:proofErr w:type="spellStart"/>
      <w:r>
        <w:rPr>
          <w:lang w:val="en-GB"/>
        </w:rPr>
        <w:t>Aplicación</w:t>
      </w:r>
      <w:proofErr w:type="spellEnd"/>
      <w:r>
        <w:rPr>
          <w:lang w:val="en-GB"/>
        </w:rPr>
        <w:t xml:space="preserve"> </w:t>
      </w:r>
    </w:p>
    <w:p w14:paraId="46DFC242" w14:textId="77777777" w:rsidR="007E0213" w:rsidRPr="0009669D" w:rsidRDefault="007E0213" w:rsidP="0070319D">
      <w:pPr>
        <w:spacing w:after="0"/>
        <w:ind w:firstLine="0"/>
        <w:rPr>
          <w:lang w:val="en-GB"/>
        </w:rPr>
      </w:pPr>
    </w:p>
    <w:p w14:paraId="652D721D" w14:textId="38AAB59D" w:rsidR="0004654D" w:rsidRPr="0009669D" w:rsidRDefault="00384C08" w:rsidP="0070319D">
      <w:pPr>
        <w:pStyle w:val="Prrafodelista"/>
        <w:numPr>
          <w:ilvl w:val="0"/>
          <w:numId w:val="19"/>
        </w:numPr>
        <w:spacing w:after="0"/>
        <w:rPr>
          <w:b/>
          <w:lang w:val="en-GB"/>
        </w:rPr>
      </w:pPr>
      <w:r w:rsidRPr="0009669D">
        <w:rPr>
          <w:b/>
          <w:lang w:val="en-GB"/>
        </w:rPr>
        <w:t>INTRODUC</w:t>
      </w:r>
      <w:r w:rsidR="00B30796" w:rsidRPr="0009669D">
        <w:rPr>
          <w:b/>
          <w:lang w:val="en-GB"/>
        </w:rPr>
        <w:t>TION</w:t>
      </w:r>
    </w:p>
    <w:p w14:paraId="6344BDE1" w14:textId="77777777" w:rsidR="00443B6C" w:rsidRPr="0009669D" w:rsidRDefault="00443B6C" w:rsidP="0070319D">
      <w:pPr>
        <w:spacing w:after="0"/>
        <w:ind w:firstLine="0"/>
        <w:rPr>
          <w:b/>
          <w:lang w:val="en-GB"/>
        </w:rPr>
      </w:pPr>
    </w:p>
    <w:p w14:paraId="06F968DD" w14:textId="3EC43166" w:rsidR="00D93CAC" w:rsidRPr="0009669D" w:rsidRDefault="00443B6C" w:rsidP="0070319D">
      <w:pPr>
        <w:ind w:firstLine="0"/>
        <w:rPr>
          <w:lang w:val="en-GB"/>
        </w:rPr>
      </w:pPr>
      <w:r w:rsidRPr="0009669D">
        <w:rPr>
          <w:lang w:val="en-GB"/>
        </w:rPr>
        <w:t>Business growth is a desirable goal from both the business and macroeconomic perspectives.</w:t>
      </w:r>
      <w:r w:rsidR="0004654D" w:rsidRPr="0009669D">
        <w:rPr>
          <w:lang w:val="en-GB"/>
        </w:rPr>
        <w:t xml:space="preserve"> </w:t>
      </w:r>
      <w:r w:rsidR="00265F8A" w:rsidRPr="0009669D">
        <w:rPr>
          <w:lang w:val="en-GB"/>
        </w:rPr>
        <w:t>In the first case it becomes transcendental since it allows a change in the strategic direction, structure and organizational capacities of a company (</w:t>
      </w:r>
      <w:proofErr w:type="spellStart"/>
      <w:r w:rsidR="00265F8A" w:rsidRPr="0009669D">
        <w:rPr>
          <w:lang w:val="en-GB"/>
        </w:rPr>
        <w:t>Ripollés</w:t>
      </w:r>
      <w:proofErr w:type="spellEnd"/>
      <w:r w:rsidR="00265F8A" w:rsidRPr="0009669D">
        <w:rPr>
          <w:lang w:val="en-GB"/>
        </w:rPr>
        <w:t xml:space="preserve"> &amp; </w:t>
      </w:r>
      <w:proofErr w:type="spellStart"/>
      <w:r w:rsidR="00265F8A" w:rsidRPr="0009669D">
        <w:rPr>
          <w:lang w:val="en-GB"/>
        </w:rPr>
        <w:t>Menguzzato</w:t>
      </w:r>
      <w:proofErr w:type="spellEnd"/>
      <w:r w:rsidR="00265F8A" w:rsidRPr="0009669D">
        <w:rPr>
          <w:lang w:val="en-GB"/>
        </w:rPr>
        <w:t xml:space="preserve">, 2001). In the second, business growth is an important factor that allows </w:t>
      </w:r>
      <w:r w:rsidR="0009669D" w:rsidRPr="0009669D">
        <w:rPr>
          <w:lang w:val="en-GB"/>
        </w:rPr>
        <w:t>boosting</w:t>
      </w:r>
      <w:r w:rsidR="00265F8A" w:rsidRPr="0009669D">
        <w:rPr>
          <w:lang w:val="en-GB"/>
        </w:rPr>
        <w:t xml:space="preserve"> the economy of a country. That is why the economic, social and cultural factors that determine their </w:t>
      </w:r>
      <w:r w:rsidR="0009669D" w:rsidRPr="0009669D">
        <w:rPr>
          <w:lang w:val="en-GB"/>
        </w:rPr>
        <w:t>behaviour</w:t>
      </w:r>
      <w:r w:rsidR="00265F8A" w:rsidRPr="0009669D">
        <w:rPr>
          <w:lang w:val="en-GB"/>
        </w:rPr>
        <w:t xml:space="preserve"> are investigated worldwide (</w:t>
      </w:r>
      <w:proofErr w:type="spellStart"/>
      <w:r w:rsidR="00265F8A" w:rsidRPr="0009669D">
        <w:rPr>
          <w:lang w:val="en-GB"/>
        </w:rPr>
        <w:t>Audretsch</w:t>
      </w:r>
      <w:proofErr w:type="spellEnd"/>
      <w:r w:rsidR="00265F8A" w:rsidRPr="0009669D">
        <w:rPr>
          <w:lang w:val="en-GB"/>
        </w:rPr>
        <w:t xml:space="preserve"> et al., 2004).</w:t>
      </w:r>
    </w:p>
    <w:p w14:paraId="7115122B" w14:textId="77777777" w:rsidR="00D93CAC" w:rsidRPr="0009669D" w:rsidRDefault="00265F8A" w:rsidP="0070319D">
      <w:pPr>
        <w:ind w:firstLine="0"/>
        <w:rPr>
          <w:lang w:val="en-GB"/>
        </w:rPr>
      </w:pPr>
      <w:r w:rsidRPr="0009669D">
        <w:rPr>
          <w:lang w:val="en-GB"/>
        </w:rPr>
        <w:t>The present study considers the postulates of Gibrat's law or law of proportional effects, which relates size to the growth of companies (Gibrat, 1931). In particular, this law proposes independence between business growth rates and their size (</w:t>
      </w:r>
      <w:proofErr w:type="spellStart"/>
      <w:r w:rsidRPr="0009669D">
        <w:rPr>
          <w:lang w:val="en-GB"/>
        </w:rPr>
        <w:t>Carrizosa</w:t>
      </w:r>
      <w:proofErr w:type="spellEnd"/>
      <w:r w:rsidRPr="0009669D">
        <w:rPr>
          <w:lang w:val="en-GB"/>
        </w:rPr>
        <w:t xml:space="preserve">, 2010, </w:t>
      </w:r>
      <w:proofErr w:type="spellStart"/>
      <w:r w:rsidRPr="0009669D">
        <w:rPr>
          <w:lang w:val="en-GB"/>
        </w:rPr>
        <w:t>Miralles</w:t>
      </w:r>
      <w:proofErr w:type="spellEnd"/>
      <w:r w:rsidRPr="0009669D">
        <w:rPr>
          <w:lang w:val="en-GB"/>
        </w:rPr>
        <w:t xml:space="preserve"> et al</w:t>
      </w:r>
      <w:r w:rsidR="00D93CAC" w:rsidRPr="0009669D">
        <w:rPr>
          <w:lang w:val="en-GB"/>
        </w:rPr>
        <w:t>., 2017, Simbaña et al., 2017).</w:t>
      </w:r>
    </w:p>
    <w:p w14:paraId="0E2C542A" w14:textId="5480C205" w:rsidR="00B94705" w:rsidRPr="0009669D" w:rsidRDefault="00265F8A" w:rsidP="0070319D">
      <w:pPr>
        <w:ind w:firstLine="0"/>
        <w:rPr>
          <w:lang w:val="en-GB"/>
        </w:rPr>
      </w:pPr>
      <w:r w:rsidRPr="0009669D">
        <w:rPr>
          <w:lang w:val="en-GB"/>
        </w:rPr>
        <w:t>In recent years, a considerable number of investigations focused on verifying compliance with this law have been developed.</w:t>
      </w:r>
      <w:r w:rsidR="0004654D" w:rsidRPr="0009669D">
        <w:rPr>
          <w:lang w:val="en-GB"/>
        </w:rPr>
        <w:t xml:space="preserve"> </w:t>
      </w:r>
      <w:r w:rsidRPr="0009669D">
        <w:rPr>
          <w:lang w:val="en-GB"/>
        </w:rPr>
        <w:t>However, most of these studies have been carried out in developed countries, contributing their results to improve the public policy of these countries. Despite this, these findings can not be fully applied in companies in developing countries, specifically due to differences in their social and economic en</w:t>
      </w:r>
      <w:r w:rsidR="00D93CAC" w:rsidRPr="0009669D">
        <w:rPr>
          <w:lang w:val="en-GB"/>
        </w:rPr>
        <w:t>vironment (</w:t>
      </w:r>
      <w:proofErr w:type="spellStart"/>
      <w:r w:rsidR="00D93CAC" w:rsidRPr="0009669D">
        <w:rPr>
          <w:lang w:val="en-GB"/>
        </w:rPr>
        <w:t>Nassar</w:t>
      </w:r>
      <w:proofErr w:type="spellEnd"/>
      <w:r w:rsidR="00D93CAC" w:rsidRPr="0009669D">
        <w:rPr>
          <w:lang w:val="en-GB"/>
        </w:rPr>
        <w:t xml:space="preserve"> et al., 2014; Simbaña et al., 2017;</w:t>
      </w:r>
      <w:r w:rsidRPr="0009669D">
        <w:rPr>
          <w:lang w:val="en-GB"/>
        </w:rPr>
        <w:t xml:space="preserve"> </w:t>
      </w:r>
      <w:proofErr w:type="spellStart"/>
      <w:r w:rsidRPr="0009669D">
        <w:rPr>
          <w:lang w:val="en-GB"/>
        </w:rPr>
        <w:t>Miralles</w:t>
      </w:r>
      <w:proofErr w:type="spellEnd"/>
      <w:r w:rsidRPr="0009669D">
        <w:rPr>
          <w:lang w:val="en-GB"/>
        </w:rPr>
        <w:t xml:space="preserve"> et al., 2017).</w:t>
      </w:r>
    </w:p>
    <w:p w14:paraId="55A576AB" w14:textId="1EA1585A" w:rsidR="00B94705" w:rsidRPr="0009669D" w:rsidRDefault="00186EE2" w:rsidP="0070319D">
      <w:pPr>
        <w:ind w:firstLine="0"/>
        <w:rPr>
          <w:lang w:val="en-GB"/>
        </w:rPr>
      </w:pPr>
      <w:r w:rsidRPr="0009669D">
        <w:rPr>
          <w:lang w:val="en-GB"/>
        </w:rPr>
        <w:t>Worldwide, small and medium-sized companies play an important role in the development of countries, mainly due to the high degree of job creation. In Ecuador, SMEs generate 65% of employment and contribute with 13% to the gross domestic product (GDP) (INEC, 2017).</w:t>
      </w:r>
    </w:p>
    <w:p w14:paraId="52E1214D" w14:textId="0D76C684" w:rsidR="009869FE" w:rsidRPr="0009669D" w:rsidRDefault="009869FE" w:rsidP="0070319D">
      <w:pPr>
        <w:ind w:firstLine="0"/>
        <w:rPr>
          <w:lang w:val="en-GB"/>
        </w:rPr>
      </w:pPr>
      <w:r w:rsidRPr="0009669D">
        <w:rPr>
          <w:lang w:val="en-GB"/>
        </w:rPr>
        <w:t xml:space="preserve">According to </w:t>
      </w:r>
      <w:proofErr w:type="spellStart"/>
      <w:r w:rsidRPr="0009669D">
        <w:rPr>
          <w:lang w:val="en-GB"/>
        </w:rPr>
        <w:t>Jácome</w:t>
      </w:r>
      <w:proofErr w:type="spellEnd"/>
      <w:r w:rsidRPr="0009669D">
        <w:rPr>
          <w:lang w:val="en-GB"/>
        </w:rPr>
        <w:t xml:space="preserve"> &amp; King (2013), the productive policy in Ecuador seeks the participation and inclusion of small and medium enterprises in the development of the business tissue, since SMEs are considered as the most productive sector in the economy of developed countries and of those in the process of development. Ecuador has a large number of SMEs in the manufacturing sector, which have great relevance in </w:t>
      </w:r>
      <w:r w:rsidRPr="0009669D">
        <w:rPr>
          <w:lang w:val="en-GB"/>
        </w:rPr>
        <w:lastRenderedPageBreak/>
        <w:t xml:space="preserve">the </w:t>
      </w:r>
      <w:r w:rsidR="0009669D" w:rsidRPr="0009669D">
        <w:rPr>
          <w:lang w:val="en-GB"/>
        </w:rPr>
        <w:t>labour</w:t>
      </w:r>
      <w:r w:rsidRPr="0009669D">
        <w:rPr>
          <w:lang w:val="en-GB"/>
        </w:rPr>
        <w:t xml:space="preserve"> and commercial market, therefore, the business development of this sector is considered a primary objective from the economic and social perspective (</w:t>
      </w:r>
      <w:proofErr w:type="spellStart"/>
      <w:r w:rsidRPr="0009669D">
        <w:rPr>
          <w:lang w:val="en-GB"/>
        </w:rPr>
        <w:t>Amores</w:t>
      </w:r>
      <w:proofErr w:type="spellEnd"/>
      <w:r w:rsidRPr="0009669D">
        <w:rPr>
          <w:lang w:val="en-GB"/>
        </w:rPr>
        <w:t xml:space="preserve"> &amp; Castillo, 2017).</w:t>
      </w:r>
    </w:p>
    <w:p w14:paraId="16C721CF" w14:textId="476172B0" w:rsidR="00C65771" w:rsidRPr="0009669D" w:rsidRDefault="009869FE" w:rsidP="0070319D">
      <w:pPr>
        <w:ind w:firstLine="0"/>
        <w:rPr>
          <w:lang w:val="en-GB"/>
        </w:rPr>
      </w:pPr>
      <w:r w:rsidRPr="0009669D">
        <w:rPr>
          <w:lang w:val="en-GB"/>
        </w:rPr>
        <w:t xml:space="preserve">In this paper we try to </w:t>
      </w:r>
      <w:r w:rsidR="0009669D" w:rsidRPr="0009669D">
        <w:rPr>
          <w:lang w:val="en-GB"/>
        </w:rPr>
        <w:t>analyse</w:t>
      </w:r>
      <w:r w:rsidRPr="0009669D">
        <w:rPr>
          <w:lang w:val="en-GB"/>
        </w:rPr>
        <w:t xml:space="preserve"> the influence of size, as well as other factors, on the growth of companies in a developing country such as Ecuador and in this way provide information for business decision making as well as for the design of public policies (</w:t>
      </w:r>
      <w:proofErr w:type="spellStart"/>
      <w:r w:rsidRPr="0009669D">
        <w:rPr>
          <w:lang w:val="en-GB"/>
        </w:rPr>
        <w:t>Segarra</w:t>
      </w:r>
      <w:proofErr w:type="spellEnd"/>
      <w:r w:rsidRPr="0009669D">
        <w:rPr>
          <w:lang w:val="en-GB"/>
        </w:rPr>
        <w:t xml:space="preserve"> &amp; </w:t>
      </w:r>
      <w:proofErr w:type="spellStart"/>
      <w:r w:rsidRPr="0009669D">
        <w:rPr>
          <w:lang w:val="en-GB"/>
        </w:rPr>
        <w:t>Teruel</w:t>
      </w:r>
      <w:proofErr w:type="spellEnd"/>
      <w:r w:rsidRPr="0009669D">
        <w:rPr>
          <w:lang w:val="en-GB"/>
        </w:rPr>
        <w:t xml:space="preserve">, 2014; </w:t>
      </w:r>
      <w:proofErr w:type="spellStart"/>
      <w:r w:rsidRPr="0009669D">
        <w:rPr>
          <w:lang w:val="en-GB"/>
        </w:rPr>
        <w:t>Daza</w:t>
      </w:r>
      <w:proofErr w:type="spellEnd"/>
      <w:r w:rsidRPr="0009669D">
        <w:rPr>
          <w:lang w:val="en-GB"/>
        </w:rPr>
        <w:t>, 2015). In particular, and considering the importance of the topic of business growth and the manufacturing sector, this research addresses different aspects related to small and medium-sized Ecuadorian companies belonging to this economic activity.</w:t>
      </w:r>
    </w:p>
    <w:p w14:paraId="77492CBB" w14:textId="1DB6BC52" w:rsidR="00B94705" w:rsidRPr="0009669D" w:rsidRDefault="00C65771" w:rsidP="0070319D">
      <w:pPr>
        <w:ind w:firstLine="0"/>
        <w:rPr>
          <w:lang w:val="en-GB"/>
        </w:rPr>
      </w:pPr>
      <w:r w:rsidRPr="0009669D">
        <w:rPr>
          <w:lang w:val="en-GB"/>
        </w:rPr>
        <w:t>To perform the empirical test,</w:t>
      </w:r>
      <w:r w:rsidR="00C145A2" w:rsidRPr="0009669D">
        <w:rPr>
          <w:lang w:val="en-GB"/>
        </w:rPr>
        <w:t xml:space="preserve"> it is used as a variable explained the growth measured </w:t>
      </w:r>
      <w:r w:rsidRPr="0009669D">
        <w:rPr>
          <w:lang w:val="en-GB"/>
        </w:rPr>
        <w:t>through the logarithmic difference in size (sales and employment) and as explanatory variables: sales, number of employees, capital and age.</w:t>
      </w:r>
      <w:r w:rsidR="00D93CAC" w:rsidRPr="0009669D">
        <w:rPr>
          <w:lang w:val="en-GB"/>
        </w:rPr>
        <w:t xml:space="preserve"> </w:t>
      </w:r>
      <w:r w:rsidR="00FD2550" w:rsidRPr="0009669D">
        <w:rPr>
          <w:lang w:val="en-GB"/>
        </w:rPr>
        <w:t>In addition, the quantile regression model is used for panel data with the purpose of discovering the underlying relationships of the growth phenomenon along the distribution of growth rates.</w:t>
      </w:r>
    </w:p>
    <w:p w14:paraId="0620DB4A" w14:textId="2D851EC5" w:rsidR="00135B3B" w:rsidRPr="0009669D" w:rsidRDefault="00FD2550" w:rsidP="0070319D">
      <w:pPr>
        <w:ind w:firstLine="0"/>
        <w:rPr>
          <w:lang w:val="en-GB"/>
        </w:rPr>
      </w:pPr>
      <w:r w:rsidRPr="0009669D">
        <w:rPr>
          <w:lang w:val="en-GB"/>
        </w:rPr>
        <w:t xml:space="preserve">This issue is especially important because it allows </w:t>
      </w:r>
      <w:proofErr w:type="gramStart"/>
      <w:r w:rsidRPr="0009669D">
        <w:rPr>
          <w:lang w:val="en-GB"/>
        </w:rPr>
        <w:t>to cover</w:t>
      </w:r>
      <w:proofErr w:type="gramEnd"/>
      <w:r w:rsidRPr="0009669D">
        <w:rPr>
          <w:lang w:val="en-GB"/>
        </w:rPr>
        <w:t xml:space="preserve"> the existing vacuum in the literature on the study of the phenomenon of business growth in a country that has an economy in transition.</w:t>
      </w:r>
      <w:r w:rsidR="0004654D" w:rsidRPr="0009669D">
        <w:rPr>
          <w:lang w:val="en-GB"/>
        </w:rPr>
        <w:t xml:space="preserve"> </w:t>
      </w:r>
      <w:r w:rsidRPr="0009669D">
        <w:rPr>
          <w:lang w:val="en-GB"/>
        </w:rPr>
        <w:t>In addition, it applies a novel technique such as quantile regression for panel data with the purpose of investigating the relationships of growth with its explanatory variables. Another important contribution is the analysis of a sample that includes all of the small and medium manufacturing companies in Ecuador.</w:t>
      </w:r>
      <w:r w:rsidR="00D93CAC" w:rsidRPr="0009669D">
        <w:rPr>
          <w:lang w:val="en-GB"/>
        </w:rPr>
        <w:t xml:space="preserve"> </w:t>
      </w:r>
      <w:r w:rsidRPr="0009669D">
        <w:rPr>
          <w:lang w:val="en-GB"/>
        </w:rPr>
        <w:t>Regarding the growth model, it can be highlighted that variables with business characteristics and financial performance are used as determinants (Simbaña et al., 2017).</w:t>
      </w:r>
    </w:p>
    <w:p w14:paraId="02323CC6" w14:textId="26012999" w:rsidR="00135B3B" w:rsidRPr="0009669D" w:rsidRDefault="00135B3B" w:rsidP="0070319D">
      <w:pPr>
        <w:ind w:firstLine="0"/>
        <w:rPr>
          <w:lang w:val="en-GB"/>
        </w:rPr>
      </w:pPr>
      <w:r w:rsidRPr="0009669D">
        <w:rPr>
          <w:lang w:val="en-GB"/>
        </w:rPr>
        <w:t>The present work is structured as follows: in the second section, a review of the literature is performed to explain business growth based on previous studies that address this issue from various approaches, all of them bas</w:t>
      </w:r>
      <w:r w:rsidR="00D93CAC" w:rsidRPr="0009669D">
        <w:rPr>
          <w:lang w:val="en-GB"/>
        </w:rPr>
        <w:t xml:space="preserve">ed on the model established by </w:t>
      </w:r>
      <w:r w:rsidRPr="0009669D">
        <w:rPr>
          <w:lang w:val="en-GB"/>
        </w:rPr>
        <w:t>Gibrat's law, from which the hypotheses are derived. Section 3 describes the sample and the study variables, as well as the estimation strategy and the model specification. Section 4 presents the results of the univariate and multivariate analysis. Finally, section 5 describes the main conclusions, limitations and future lines of research.</w:t>
      </w:r>
    </w:p>
    <w:p w14:paraId="54D1438E" w14:textId="77777777" w:rsidR="00135B3B" w:rsidRPr="0009669D" w:rsidRDefault="00135B3B" w:rsidP="00135B3B">
      <w:pPr>
        <w:spacing w:after="0"/>
        <w:ind w:firstLine="0"/>
        <w:rPr>
          <w:b/>
          <w:lang w:val="en-GB"/>
        </w:rPr>
      </w:pPr>
    </w:p>
    <w:p w14:paraId="0486B5ED" w14:textId="77777777" w:rsidR="00135B3B" w:rsidRPr="0009669D" w:rsidRDefault="00135B3B" w:rsidP="00B30796">
      <w:pPr>
        <w:pStyle w:val="Prrafodelista"/>
        <w:numPr>
          <w:ilvl w:val="0"/>
          <w:numId w:val="19"/>
        </w:numPr>
        <w:spacing w:after="0"/>
        <w:rPr>
          <w:b/>
          <w:lang w:val="en-GB"/>
        </w:rPr>
      </w:pPr>
      <w:r w:rsidRPr="0009669D">
        <w:rPr>
          <w:b/>
          <w:lang w:val="en-GB"/>
        </w:rPr>
        <w:t>REVIEW OF LITERATURE</w:t>
      </w:r>
    </w:p>
    <w:p w14:paraId="47C66CCA" w14:textId="77777777" w:rsidR="00B94705" w:rsidRPr="0009669D" w:rsidRDefault="00B94705" w:rsidP="000A696F">
      <w:pPr>
        <w:spacing w:after="0"/>
        <w:ind w:firstLine="0"/>
        <w:rPr>
          <w:lang w:val="en-GB"/>
        </w:rPr>
      </w:pPr>
    </w:p>
    <w:p w14:paraId="53ED3667" w14:textId="3427CA13" w:rsidR="002E53AA" w:rsidRPr="0009669D" w:rsidRDefault="00135B3B" w:rsidP="0070319D">
      <w:pPr>
        <w:rPr>
          <w:lang w:val="en-GB"/>
        </w:rPr>
      </w:pPr>
      <w:r w:rsidRPr="0009669D">
        <w:rPr>
          <w:lang w:val="en-GB"/>
        </w:rPr>
        <w:t>The growth of the company is considered by several authors as an indicator of performance (</w:t>
      </w:r>
      <w:proofErr w:type="spellStart"/>
      <w:r w:rsidRPr="0009669D">
        <w:rPr>
          <w:lang w:val="en-GB"/>
        </w:rPr>
        <w:t>Daunfeldt</w:t>
      </w:r>
      <w:proofErr w:type="spellEnd"/>
      <w:r w:rsidRPr="0009669D">
        <w:rPr>
          <w:lang w:val="en-GB"/>
        </w:rPr>
        <w:t xml:space="preserve"> &amp; </w:t>
      </w:r>
      <w:proofErr w:type="spellStart"/>
      <w:r w:rsidRPr="0009669D">
        <w:rPr>
          <w:lang w:val="en-GB"/>
        </w:rPr>
        <w:t>Elert</w:t>
      </w:r>
      <w:proofErr w:type="spellEnd"/>
      <w:r w:rsidRPr="0009669D">
        <w:rPr>
          <w:lang w:val="en-GB"/>
        </w:rPr>
        <w:t>,</w:t>
      </w:r>
      <w:r w:rsidR="00D93CAC" w:rsidRPr="0009669D">
        <w:rPr>
          <w:lang w:val="en-GB"/>
        </w:rPr>
        <w:t xml:space="preserve"> 2013;</w:t>
      </w:r>
      <w:r w:rsidRPr="0009669D">
        <w:rPr>
          <w:lang w:val="en-GB"/>
        </w:rPr>
        <w:t xml:space="preserve"> Simbaña et al., 2017). Although there is no general definition of business growth so far, several authors have tried to establish concepts about this phenomenon, such as those suggested by Acosta et al. (2001) who affirm that the concept of growth depends on the focus of the research and on the variables used to measure it. </w:t>
      </w:r>
      <w:r w:rsidR="002E53AA" w:rsidRPr="0009669D">
        <w:rPr>
          <w:lang w:val="en-GB"/>
        </w:rPr>
        <w:t>As regards the review of the previous literature related to the results of Gibrat's law, it varies according to the moment of analysis and the variables used to measure the growth and size of a company (Acosta et al., 2001). As previously mentioned, the research carried out mostly focuses on samples from companies in developed countries such as the United States, the United Kingdom and Japan. In addition, it is necessary to highlight that the third part of these studies focused on the manufacturing sector (</w:t>
      </w:r>
      <w:proofErr w:type="spellStart"/>
      <w:r w:rsidR="002E53AA" w:rsidRPr="0009669D">
        <w:rPr>
          <w:lang w:val="en-GB"/>
        </w:rPr>
        <w:t>Miralles</w:t>
      </w:r>
      <w:proofErr w:type="spellEnd"/>
      <w:r w:rsidR="002E53AA" w:rsidRPr="0009669D">
        <w:rPr>
          <w:lang w:val="en-GB"/>
        </w:rPr>
        <w:t xml:space="preserve"> et al., 2017).</w:t>
      </w:r>
    </w:p>
    <w:p w14:paraId="037830BE" w14:textId="31FAF132" w:rsidR="00D353AE" w:rsidRPr="0009669D" w:rsidRDefault="00D353AE" w:rsidP="0070319D">
      <w:pPr>
        <w:ind w:firstLine="0"/>
        <w:rPr>
          <w:lang w:val="en-GB"/>
        </w:rPr>
      </w:pPr>
      <w:r w:rsidRPr="0009669D">
        <w:rPr>
          <w:lang w:val="en-GB"/>
        </w:rPr>
        <w:lastRenderedPageBreak/>
        <w:t xml:space="preserve">When categorizing the result found by researchers in relation to Gibrat's law, three types of studies are identified: those that reject the law, those that agree with the independence between size and business growth, and others that found fractional results, </w:t>
      </w:r>
      <w:proofErr w:type="spellStart"/>
      <w:r w:rsidRPr="0009669D">
        <w:rPr>
          <w:lang w:val="en-GB"/>
        </w:rPr>
        <w:t>ie</w:t>
      </w:r>
      <w:proofErr w:type="spellEnd"/>
      <w:proofErr w:type="gramStart"/>
      <w:r w:rsidR="0009669D">
        <w:rPr>
          <w:lang w:val="en-GB"/>
        </w:rPr>
        <w:t>.;</w:t>
      </w:r>
      <w:proofErr w:type="gramEnd"/>
      <w:r w:rsidRPr="0009669D">
        <w:rPr>
          <w:lang w:val="en-GB"/>
        </w:rPr>
        <w:t xml:space="preserve"> a part of their study allows to accept Gibrat's law while the other part leads to reject it.</w:t>
      </w:r>
    </w:p>
    <w:p w14:paraId="2D3CD8A9" w14:textId="74756C76" w:rsidR="00D93CAC" w:rsidRPr="001461CC" w:rsidRDefault="00D353AE" w:rsidP="0070319D">
      <w:pPr>
        <w:ind w:firstLine="0"/>
        <w:rPr>
          <w:lang w:val="pt-PT"/>
        </w:rPr>
      </w:pPr>
      <w:r w:rsidRPr="0009669D">
        <w:rPr>
          <w:lang w:val="en-GB"/>
        </w:rPr>
        <w:t xml:space="preserve">Among the studies focused on manufacturing companies, we find results that reject Gibrat's law, such as those found by Coad (2008), </w:t>
      </w:r>
      <w:proofErr w:type="spellStart"/>
      <w:r w:rsidRPr="0009669D">
        <w:rPr>
          <w:lang w:val="en-GB"/>
        </w:rPr>
        <w:t>Levratto</w:t>
      </w:r>
      <w:proofErr w:type="spellEnd"/>
      <w:r w:rsidRPr="0009669D">
        <w:rPr>
          <w:lang w:val="en-GB"/>
        </w:rPr>
        <w:t xml:space="preserve"> et al. (2010)</w:t>
      </w:r>
      <w:r w:rsidR="001461CC">
        <w:rPr>
          <w:lang w:val="en-GB"/>
        </w:rPr>
        <w:t xml:space="preserve">, </w:t>
      </w:r>
      <w:proofErr w:type="spellStart"/>
      <w:r w:rsidRPr="0009669D">
        <w:rPr>
          <w:lang w:val="en-GB"/>
        </w:rPr>
        <w:t>Almus</w:t>
      </w:r>
      <w:proofErr w:type="spellEnd"/>
      <w:r w:rsidRPr="0009669D">
        <w:rPr>
          <w:lang w:val="en-GB"/>
        </w:rPr>
        <w:t xml:space="preserve"> &amp; </w:t>
      </w:r>
      <w:proofErr w:type="spellStart"/>
      <w:r w:rsidRPr="0009669D">
        <w:rPr>
          <w:lang w:val="en-GB"/>
        </w:rPr>
        <w:t>Nerlinger</w:t>
      </w:r>
      <w:proofErr w:type="spellEnd"/>
      <w:r w:rsidRPr="0009669D">
        <w:rPr>
          <w:lang w:val="en-GB"/>
        </w:rPr>
        <w:t xml:space="preserve"> (2000), </w:t>
      </w:r>
      <w:proofErr w:type="spellStart"/>
      <w:r w:rsidRPr="0009669D">
        <w:rPr>
          <w:lang w:val="en-GB"/>
        </w:rPr>
        <w:t>Becchetti</w:t>
      </w:r>
      <w:proofErr w:type="spellEnd"/>
      <w:r w:rsidRPr="0009669D">
        <w:rPr>
          <w:lang w:val="en-GB"/>
        </w:rPr>
        <w:t xml:space="preserve"> &amp; </w:t>
      </w:r>
      <w:proofErr w:type="spellStart"/>
      <w:r w:rsidRPr="0009669D">
        <w:rPr>
          <w:lang w:val="en-GB"/>
        </w:rPr>
        <w:t>Trovato</w:t>
      </w:r>
      <w:proofErr w:type="spellEnd"/>
      <w:r w:rsidRPr="0009669D">
        <w:rPr>
          <w:lang w:val="en-GB"/>
        </w:rPr>
        <w:t xml:space="preserve"> (2002), Goddard et al. </w:t>
      </w:r>
      <w:r w:rsidRPr="001461CC">
        <w:rPr>
          <w:lang w:val="pt-PT"/>
        </w:rPr>
        <w:t>(2002), Oliveira &amp; Fortunato (2003), Pagano &amp; Schivardi (2003), Harris &amp; Trainor (2005), Piergiovanni (2010), Mukhopadhyay &amp; Amirkhalkhali (2010) and Segarra &amp; Teruel (2014).</w:t>
      </w:r>
      <w:r w:rsidR="008C31FA" w:rsidRPr="001461CC">
        <w:rPr>
          <w:lang w:val="pt-PT"/>
        </w:rPr>
        <w:t xml:space="preserve"> </w:t>
      </w:r>
    </w:p>
    <w:p w14:paraId="0E0B5AB5" w14:textId="3E3449A6" w:rsidR="001461CC" w:rsidRPr="0009669D" w:rsidRDefault="00D353AE" w:rsidP="0070319D">
      <w:pPr>
        <w:ind w:firstLine="0"/>
        <w:rPr>
          <w:lang w:val="en-GB"/>
        </w:rPr>
      </w:pPr>
      <w:r w:rsidRPr="0009669D">
        <w:rPr>
          <w:lang w:val="en-GB"/>
        </w:rPr>
        <w:t xml:space="preserve">In contrast, </w:t>
      </w:r>
      <w:r w:rsidR="001461CC">
        <w:rPr>
          <w:lang w:val="en-GB"/>
        </w:rPr>
        <w:t xml:space="preserve">several studies </w:t>
      </w:r>
      <w:r w:rsidRPr="0009669D">
        <w:rPr>
          <w:lang w:val="en-GB"/>
        </w:rPr>
        <w:t xml:space="preserve">validated </w:t>
      </w:r>
      <w:proofErr w:type="spellStart"/>
      <w:r w:rsidRPr="0009669D">
        <w:rPr>
          <w:lang w:val="en-GB"/>
        </w:rPr>
        <w:t>Gibrat's</w:t>
      </w:r>
      <w:proofErr w:type="spellEnd"/>
      <w:r w:rsidRPr="0009669D">
        <w:rPr>
          <w:lang w:val="en-GB"/>
        </w:rPr>
        <w:t xml:space="preserve"> law </w:t>
      </w:r>
      <w:r w:rsidR="001461CC">
        <w:rPr>
          <w:lang w:val="en-GB"/>
        </w:rPr>
        <w:t xml:space="preserve">like </w:t>
      </w:r>
      <w:proofErr w:type="spellStart"/>
      <w:r w:rsidR="001461CC" w:rsidRPr="0009669D">
        <w:rPr>
          <w:lang w:val="en-GB"/>
        </w:rPr>
        <w:t>Fariñas</w:t>
      </w:r>
      <w:proofErr w:type="spellEnd"/>
      <w:r w:rsidR="001461CC" w:rsidRPr="0009669D">
        <w:rPr>
          <w:lang w:val="en-GB"/>
        </w:rPr>
        <w:t xml:space="preserve"> &amp; Moreno (2000)</w:t>
      </w:r>
      <w:r w:rsidR="001461CC">
        <w:rPr>
          <w:lang w:val="en-GB"/>
        </w:rPr>
        <w:t xml:space="preserve"> and </w:t>
      </w:r>
      <w:r w:rsidR="001461CC" w:rsidRPr="001461CC">
        <w:rPr>
          <w:lang w:val="en-GB"/>
        </w:rPr>
        <w:t xml:space="preserve">Fujiwara et al. (2004 and others </w:t>
      </w:r>
      <w:r w:rsidR="001461CC">
        <w:rPr>
          <w:lang w:val="en-GB"/>
        </w:rPr>
        <w:t xml:space="preserve">partially validated </w:t>
      </w:r>
      <w:proofErr w:type="spellStart"/>
      <w:r w:rsidR="001461CC" w:rsidRPr="001461CC">
        <w:rPr>
          <w:lang w:val="en-GB"/>
        </w:rPr>
        <w:t>Gibrat's</w:t>
      </w:r>
      <w:proofErr w:type="spellEnd"/>
      <w:r w:rsidR="001461CC" w:rsidRPr="001461CC">
        <w:rPr>
          <w:lang w:val="en-GB"/>
        </w:rPr>
        <w:t xml:space="preserve"> law</w:t>
      </w:r>
      <w:r w:rsidR="001461CC">
        <w:rPr>
          <w:lang w:val="en-GB"/>
        </w:rPr>
        <w:t xml:space="preserve">; </w:t>
      </w:r>
      <w:r w:rsidR="001461CC" w:rsidRPr="001461CC">
        <w:rPr>
          <w:lang w:val="en-GB"/>
        </w:rPr>
        <w:t xml:space="preserve">Fotopoulos &amp; </w:t>
      </w:r>
      <w:proofErr w:type="spellStart"/>
      <w:r w:rsidR="001461CC" w:rsidRPr="001461CC">
        <w:rPr>
          <w:lang w:val="en-GB"/>
        </w:rPr>
        <w:t>Giotopoulos</w:t>
      </w:r>
      <w:proofErr w:type="spellEnd"/>
      <w:r w:rsidR="001461CC" w:rsidRPr="001461CC">
        <w:rPr>
          <w:lang w:val="en-GB"/>
        </w:rPr>
        <w:t xml:space="preserve"> (2010)</w:t>
      </w:r>
      <w:r w:rsidR="001461CC">
        <w:rPr>
          <w:lang w:val="en-GB"/>
        </w:rPr>
        <w:t xml:space="preserve">, </w:t>
      </w:r>
      <w:proofErr w:type="spellStart"/>
      <w:r w:rsidR="001461CC" w:rsidRPr="0009669D">
        <w:rPr>
          <w:lang w:val="en-GB"/>
        </w:rPr>
        <w:t>Calvo</w:t>
      </w:r>
      <w:proofErr w:type="spellEnd"/>
      <w:r w:rsidR="001461CC" w:rsidRPr="0009669D">
        <w:rPr>
          <w:lang w:val="en-GB"/>
        </w:rPr>
        <w:t xml:space="preserve"> (2004)</w:t>
      </w:r>
      <w:r w:rsidR="001461CC">
        <w:rPr>
          <w:lang w:val="en-GB"/>
        </w:rPr>
        <w:t xml:space="preserve"> and </w:t>
      </w:r>
      <w:r w:rsidR="001461CC" w:rsidRPr="0009669D">
        <w:rPr>
          <w:lang w:val="en-GB"/>
        </w:rPr>
        <w:t>Aslan (2008)</w:t>
      </w:r>
      <w:r w:rsidR="001461CC">
        <w:rPr>
          <w:lang w:val="en-GB"/>
        </w:rPr>
        <w:t>.</w:t>
      </w:r>
    </w:p>
    <w:p w14:paraId="0957C4BD" w14:textId="50C26E42" w:rsidR="001461CC" w:rsidRPr="0009669D" w:rsidRDefault="00B554FA" w:rsidP="0070319D">
      <w:pPr>
        <w:ind w:firstLine="0"/>
        <w:rPr>
          <w:lang w:val="en-GB"/>
        </w:rPr>
      </w:pPr>
      <w:r w:rsidRPr="0009669D">
        <w:rPr>
          <w:lang w:val="en-GB"/>
        </w:rPr>
        <w:t xml:space="preserve">Table 1 shows a detail that synthesizes the studies carried out on compliance with </w:t>
      </w:r>
      <w:proofErr w:type="spellStart"/>
      <w:r w:rsidRPr="0009669D">
        <w:rPr>
          <w:lang w:val="en-GB"/>
        </w:rPr>
        <w:t>Gibrat's</w:t>
      </w:r>
      <w:proofErr w:type="spellEnd"/>
      <w:r w:rsidRPr="0009669D">
        <w:rPr>
          <w:lang w:val="en-GB"/>
        </w:rPr>
        <w:t xml:space="preserve"> law</w:t>
      </w:r>
      <w:r w:rsidR="001461CC">
        <w:rPr>
          <w:lang w:val="en-GB"/>
        </w:rPr>
        <w:t xml:space="preserve"> for manufacturing companies and studies </w:t>
      </w:r>
      <w:r w:rsidR="001461CC" w:rsidRPr="0009669D">
        <w:rPr>
          <w:lang w:val="en-GB"/>
        </w:rPr>
        <w:t>that, although they have not focused on the manufacturing sector, have considered it in their sample of companies</w:t>
      </w:r>
      <w:r w:rsidR="001461CC">
        <w:rPr>
          <w:lang w:val="en-GB"/>
        </w:rPr>
        <w:t>.</w:t>
      </w:r>
    </w:p>
    <w:p w14:paraId="74186FAE" w14:textId="77777777" w:rsidR="008D3FE1" w:rsidRPr="0009669D" w:rsidRDefault="008D3FE1" w:rsidP="008D3FE1">
      <w:pPr>
        <w:pStyle w:val="Ttulotablasygrficos"/>
        <w:keepNext/>
        <w:spacing w:line="276" w:lineRule="auto"/>
        <w:ind w:firstLine="0"/>
        <w:rPr>
          <w:lang w:val="en-GB"/>
        </w:rPr>
      </w:pPr>
      <w:r w:rsidRPr="0009669D">
        <w:rPr>
          <w:lang w:val="en-GB"/>
        </w:rPr>
        <w:t xml:space="preserve">Table </w:t>
      </w:r>
      <w:r w:rsidRPr="0009669D">
        <w:rPr>
          <w:noProof/>
          <w:lang w:val="en-GB"/>
        </w:rPr>
        <w:t>1</w:t>
      </w:r>
      <w:r w:rsidRPr="0009669D">
        <w:rPr>
          <w:lang w:val="en-GB"/>
        </w:rPr>
        <w:t>. Summary of literature review</w:t>
      </w:r>
    </w:p>
    <w:tbl>
      <w:tblPr>
        <w:tblW w:w="8100" w:type="dxa"/>
        <w:tblInd w:w="70" w:type="dxa"/>
        <w:tblCellMar>
          <w:left w:w="70" w:type="dxa"/>
          <w:right w:w="70" w:type="dxa"/>
        </w:tblCellMar>
        <w:tblLook w:val="04A0" w:firstRow="1" w:lastRow="0" w:firstColumn="1" w:lastColumn="0" w:noHBand="0" w:noVBand="1"/>
      </w:tblPr>
      <w:tblGrid>
        <w:gridCol w:w="2700"/>
        <w:gridCol w:w="2700"/>
        <w:gridCol w:w="2700"/>
      </w:tblGrid>
      <w:tr w:rsidR="008D3FE1" w:rsidRPr="0009669D" w14:paraId="027D141F" w14:textId="77777777" w:rsidTr="00C200CC">
        <w:trPr>
          <w:trHeight w:val="300"/>
        </w:trPr>
        <w:tc>
          <w:tcPr>
            <w:tcW w:w="2700" w:type="dxa"/>
            <w:tcBorders>
              <w:top w:val="single" w:sz="4" w:space="0" w:color="auto"/>
              <w:left w:val="nil"/>
              <w:bottom w:val="nil"/>
              <w:right w:val="nil"/>
            </w:tcBorders>
            <w:shd w:val="clear" w:color="000000" w:fill="FFFFFF"/>
            <w:vAlign w:val="center"/>
            <w:hideMark/>
          </w:tcPr>
          <w:p w14:paraId="68816822" w14:textId="77777777" w:rsidR="008D3FE1" w:rsidRPr="0009669D" w:rsidRDefault="008D3FE1" w:rsidP="00C200CC">
            <w:pPr>
              <w:keepNext/>
              <w:spacing w:after="0"/>
              <w:ind w:firstLine="0"/>
              <w:jc w:val="center"/>
              <w:rPr>
                <w:rFonts w:eastAsia="Times New Roman" w:cs="Times New Roman"/>
                <w:b/>
                <w:bCs/>
                <w:color w:val="000000"/>
                <w:sz w:val="20"/>
                <w:szCs w:val="20"/>
                <w:lang w:val="en-GB" w:eastAsia="es-EC"/>
              </w:rPr>
            </w:pPr>
            <w:r w:rsidRPr="0009669D">
              <w:rPr>
                <w:rFonts w:eastAsia="Times New Roman" w:cs="Times New Roman"/>
                <w:b/>
                <w:bCs/>
                <w:color w:val="000000"/>
                <w:sz w:val="20"/>
                <w:szCs w:val="20"/>
                <w:lang w:val="en-GB" w:eastAsia="es-EC"/>
              </w:rPr>
              <w:t>Reject</w:t>
            </w:r>
          </w:p>
        </w:tc>
        <w:tc>
          <w:tcPr>
            <w:tcW w:w="2700" w:type="dxa"/>
            <w:tcBorders>
              <w:top w:val="single" w:sz="4" w:space="0" w:color="auto"/>
              <w:left w:val="nil"/>
              <w:bottom w:val="nil"/>
              <w:right w:val="nil"/>
            </w:tcBorders>
            <w:shd w:val="clear" w:color="000000" w:fill="FFFFFF"/>
            <w:vAlign w:val="center"/>
            <w:hideMark/>
          </w:tcPr>
          <w:p w14:paraId="4784DF5B" w14:textId="77777777" w:rsidR="008D3FE1" w:rsidRPr="0009669D" w:rsidRDefault="008D3FE1" w:rsidP="00C200CC">
            <w:pPr>
              <w:keepNext/>
              <w:spacing w:after="0"/>
              <w:ind w:firstLine="0"/>
              <w:jc w:val="center"/>
              <w:rPr>
                <w:rFonts w:eastAsia="Times New Roman" w:cs="Times New Roman"/>
                <w:b/>
                <w:bCs/>
                <w:color w:val="000000"/>
                <w:sz w:val="20"/>
                <w:szCs w:val="20"/>
                <w:lang w:val="en-GB" w:eastAsia="es-EC"/>
              </w:rPr>
            </w:pPr>
            <w:r w:rsidRPr="0009669D">
              <w:rPr>
                <w:rFonts w:eastAsia="Times New Roman" w:cs="Times New Roman"/>
                <w:b/>
                <w:bCs/>
                <w:color w:val="000000"/>
                <w:sz w:val="20"/>
                <w:szCs w:val="20"/>
                <w:lang w:val="en-GB" w:eastAsia="es-EC"/>
              </w:rPr>
              <w:t>Accept</w:t>
            </w:r>
          </w:p>
        </w:tc>
        <w:tc>
          <w:tcPr>
            <w:tcW w:w="2700" w:type="dxa"/>
            <w:tcBorders>
              <w:top w:val="single" w:sz="4" w:space="0" w:color="auto"/>
              <w:left w:val="nil"/>
              <w:bottom w:val="nil"/>
              <w:right w:val="nil"/>
            </w:tcBorders>
            <w:shd w:val="clear" w:color="000000" w:fill="FFFFFF"/>
            <w:vAlign w:val="center"/>
            <w:hideMark/>
          </w:tcPr>
          <w:p w14:paraId="4F797B54" w14:textId="38E26B97" w:rsidR="008D3FE1" w:rsidRPr="0009669D" w:rsidRDefault="0009669D" w:rsidP="00C200CC">
            <w:pPr>
              <w:keepNext/>
              <w:spacing w:after="0"/>
              <w:ind w:firstLine="0"/>
              <w:jc w:val="center"/>
              <w:rPr>
                <w:rFonts w:eastAsia="Times New Roman" w:cs="Times New Roman"/>
                <w:b/>
                <w:bCs/>
                <w:color w:val="000000"/>
                <w:sz w:val="20"/>
                <w:szCs w:val="20"/>
                <w:lang w:val="en-GB" w:eastAsia="es-EC"/>
              </w:rPr>
            </w:pPr>
            <w:r w:rsidRPr="0009669D">
              <w:rPr>
                <w:rFonts w:eastAsia="Times New Roman" w:cs="Times New Roman"/>
                <w:b/>
                <w:bCs/>
                <w:color w:val="000000"/>
                <w:sz w:val="20"/>
                <w:szCs w:val="20"/>
                <w:lang w:val="en-GB" w:eastAsia="es-EC"/>
              </w:rPr>
              <w:t>Fractionated</w:t>
            </w:r>
            <w:r w:rsidR="008D3FE1" w:rsidRPr="0009669D">
              <w:rPr>
                <w:rFonts w:eastAsia="Times New Roman" w:cs="Times New Roman"/>
                <w:b/>
                <w:bCs/>
                <w:color w:val="000000"/>
                <w:sz w:val="20"/>
                <w:szCs w:val="20"/>
                <w:lang w:val="en-GB" w:eastAsia="es-EC"/>
              </w:rPr>
              <w:t xml:space="preserve"> results</w:t>
            </w:r>
          </w:p>
        </w:tc>
      </w:tr>
      <w:tr w:rsidR="008D3FE1" w:rsidRPr="0009669D" w14:paraId="38DB4EBA" w14:textId="77777777" w:rsidTr="00C200CC">
        <w:trPr>
          <w:trHeight w:val="300"/>
        </w:trPr>
        <w:tc>
          <w:tcPr>
            <w:tcW w:w="8100" w:type="dxa"/>
            <w:gridSpan w:val="3"/>
            <w:tcBorders>
              <w:top w:val="single" w:sz="4" w:space="0" w:color="auto"/>
              <w:left w:val="nil"/>
              <w:bottom w:val="single" w:sz="4" w:space="0" w:color="auto"/>
              <w:right w:val="nil"/>
            </w:tcBorders>
            <w:shd w:val="clear" w:color="000000" w:fill="FFFFFF"/>
            <w:noWrap/>
            <w:vAlign w:val="center"/>
            <w:hideMark/>
          </w:tcPr>
          <w:p w14:paraId="13798B22" w14:textId="28A22C49" w:rsidR="008D3FE1" w:rsidRPr="0009669D" w:rsidRDefault="00D620F1" w:rsidP="00C200CC">
            <w:pPr>
              <w:keepNext/>
              <w:spacing w:after="0"/>
              <w:ind w:firstLine="0"/>
              <w:jc w:val="center"/>
              <w:rPr>
                <w:rFonts w:eastAsia="Times New Roman" w:cs="Times New Roman"/>
                <w:b/>
                <w:bCs/>
                <w:color w:val="000000"/>
                <w:sz w:val="20"/>
                <w:szCs w:val="20"/>
                <w:lang w:val="en-GB" w:eastAsia="es-EC"/>
              </w:rPr>
            </w:pPr>
            <w:r w:rsidRPr="0009669D">
              <w:rPr>
                <w:rFonts w:eastAsia="Times New Roman" w:cs="Times New Roman"/>
                <w:b/>
                <w:bCs/>
                <w:color w:val="000000"/>
                <w:sz w:val="20"/>
                <w:szCs w:val="20"/>
                <w:lang w:val="en-GB" w:eastAsia="es-EC"/>
              </w:rPr>
              <w:t>Studies focusing manufacturing companies</w:t>
            </w:r>
          </w:p>
        </w:tc>
      </w:tr>
      <w:tr w:rsidR="008D3FE1" w:rsidRPr="0009669D" w14:paraId="38279F37" w14:textId="77777777" w:rsidTr="00C200CC">
        <w:trPr>
          <w:trHeight w:val="300"/>
        </w:trPr>
        <w:tc>
          <w:tcPr>
            <w:tcW w:w="2700" w:type="dxa"/>
            <w:tcBorders>
              <w:top w:val="nil"/>
              <w:left w:val="nil"/>
              <w:bottom w:val="nil"/>
              <w:right w:val="nil"/>
            </w:tcBorders>
            <w:shd w:val="clear" w:color="000000" w:fill="FFFFFF"/>
            <w:vAlign w:val="center"/>
            <w:hideMark/>
          </w:tcPr>
          <w:p w14:paraId="506808F7"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Almus</w:t>
            </w:r>
            <w:proofErr w:type="spellEnd"/>
            <w:r w:rsidRPr="0009669D">
              <w:rPr>
                <w:rFonts w:eastAsia="Times New Roman" w:cs="Times New Roman"/>
                <w:color w:val="000000"/>
                <w:sz w:val="20"/>
                <w:szCs w:val="20"/>
                <w:lang w:val="en-GB" w:eastAsia="es-EC"/>
              </w:rPr>
              <w:t xml:space="preserve"> &amp; </w:t>
            </w:r>
            <w:proofErr w:type="spellStart"/>
            <w:r w:rsidRPr="0009669D">
              <w:rPr>
                <w:rFonts w:eastAsia="Times New Roman" w:cs="Times New Roman"/>
                <w:color w:val="000000"/>
                <w:sz w:val="20"/>
                <w:szCs w:val="20"/>
                <w:lang w:val="en-GB" w:eastAsia="es-EC"/>
              </w:rPr>
              <w:t>Nerlinger</w:t>
            </w:r>
            <w:proofErr w:type="spellEnd"/>
            <w:r w:rsidRPr="0009669D">
              <w:rPr>
                <w:rFonts w:eastAsia="Times New Roman" w:cs="Times New Roman"/>
                <w:color w:val="000000"/>
                <w:sz w:val="20"/>
                <w:szCs w:val="20"/>
                <w:lang w:val="en-GB" w:eastAsia="es-EC"/>
              </w:rPr>
              <w:t xml:space="preserve"> (2000)</w:t>
            </w:r>
          </w:p>
        </w:tc>
        <w:tc>
          <w:tcPr>
            <w:tcW w:w="2700" w:type="dxa"/>
            <w:tcBorders>
              <w:top w:val="nil"/>
              <w:left w:val="nil"/>
              <w:bottom w:val="nil"/>
              <w:right w:val="nil"/>
            </w:tcBorders>
            <w:shd w:val="clear" w:color="000000" w:fill="FFFFFF"/>
            <w:vAlign w:val="center"/>
            <w:hideMark/>
          </w:tcPr>
          <w:p w14:paraId="422CCBF0"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Fariñas</w:t>
            </w:r>
            <w:proofErr w:type="spellEnd"/>
            <w:r w:rsidRPr="0009669D">
              <w:rPr>
                <w:rFonts w:eastAsia="Times New Roman" w:cs="Times New Roman"/>
                <w:color w:val="000000"/>
                <w:sz w:val="20"/>
                <w:szCs w:val="20"/>
                <w:lang w:val="en-GB" w:eastAsia="es-EC"/>
              </w:rPr>
              <w:t xml:space="preserve"> &amp; Moreno (2000)</w:t>
            </w:r>
          </w:p>
        </w:tc>
        <w:tc>
          <w:tcPr>
            <w:tcW w:w="2700" w:type="dxa"/>
            <w:tcBorders>
              <w:top w:val="nil"/>
              <w:left w:val="nil"/>
              <w:bottom w:val="nil"/>
              <w:right w:val="nil"/>
            </w:tcBorders>
            <w:shd w:val="clear" w:color="000000" w:fill="FFFFFF"/>
            <w:vAlign w:val="center"/>
            <w:hideMark/>
          </w:tcPr>
          <w:p w14:paraId="4B9898B8"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Calvo (2004)</w:t>
            </w:r>
          </w:p>
        </w:tc>
      </w:tr>
      <w:tr w:rsidR="008D3FE1" w:rsidRPr="0009669D" w14:paraId="5D76C0A1" w14:textId="77777777" w:rsidTr="00C200CC">
        <w:trPr>
          <w:trHeight w:val="510"/>
        </w:trPr>
        <w:tc>
          <w:tcPr>
            <w:tcW w:w="2700" w:type="dxa"/>
            <w:tcBorders>
              <w:top w:val="nil"/>
              <w:left w:val="nil"/>
              <w:bottom w:val="nil"/>
              <w:right w:val="nil"/>
            </w:tcBorders>
            <w:shd w:val="clear" w:color="000000" w:fill="FFFFFF"/>
            <w:vAlign w:val="center"/>
            <w:hideMark/>
          </w:tcPr>
          <w:p w14:paraId="6313C8AF"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Becchetti</w:t>
            </w:r>
            <w:proofErr w:type="spellEnd"/>
            <w:r w:rsidRPr="0009669D">
              <w:rPr>
                <w:rFonts w:eastAsia="Times New Roman" w:cs="Times New Roman"/>
                <w:color w:val="000000"/>
                <w:sz w:val="20"/>
                <w:szCs w:val="20"/>
                <w:lang w:val="en-GB" w:eastAsia="es-EC"/>
              </w:rPr>
              <w:t xml:space="preserve"> &amp; </w:t>
            </w:r>
            <w:proofErr w:type="spellStart"/>
            <w:r w:rsidRPr="0009669D">
              <w:rPr>
                <w:rFonts w:eastAsia="Times New Roman" w:cs="Times New Roman"/>
                <w:color w:val="000000"/>
                <w:sz w:val="20"/>
                <w:szCs w:val="20"/>
                <w:lang w:val="en-GB" w:eastAsia="es-EC"/>
              </w:rPr>
              <w:t>Trovato</w:t>
            </w:r>
            <w:proofErr w:type="spellEnd"/>
            <w:r w:rsidRPr="0009669D">
              <w:rPr>
                <w:rFonts w:eastAsia="Times New Roman" w:cs="Times New Roman"/>
                <w:color w:val="000000"/>
                <w:sz w:val="20"/>
                <w:szCs w:val="20"/>
                <w:lang w:val="en-GB" w:eastAsia="es-EC"/>
              </w:rPr>
              <w:t xml:space="preserve"> (2002)</w:t>
            </w:r>
          </w:p>
        </w:tc>
        <w:tc>
          <w:tcPr>
            <w:tcW w:w="2700" w:type="dxa"/>
            <w:tcBorders>
              <w:top w:val="nil"/>
              <w:left w:val="nil"/>
              <w:bottom w:val="nil"/>
              <w:right w:val="nil"/>
            </w:tcBorders>
            <w:shd w:val="clear" w:color="000000" w:fill="FFFFFF"/>
            <w:vAlign w:val="center"/>
            <w:hideMark/>
          </w:tcPr>
          <w:p w14:paraId="0906DB43"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Fujiwara et al. (2004)</w:t>
            </w:r>
          </w:p>
        </w:tc>
        <w:tc>
          <w:tcPr>
            <w:tcW w:w="2700" w:type="dxa"/>
            <w:tcBorders>
              <w:top w:val="nil"/>
              <w:left w:val="nil"/>
              <w:bottom w:val="nil"/>
              <w:right w:val="nil"/>
            </w:tcBorders>
            <w:shd w:val="clear" w:color="000000" w:fill="FFFFFF"/>
            <w:vAlign w:val="center"/>
            <w:hideMark/>
          </w:tcPr>
          <w:p w14:paraId="67164C37"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xml:space="preserve">Fotopoulos &amp; </w:t>
            </w:r>
            <w:proofErr w:type="spellStart"/>
            <w:r w:rsidRPr="0009669D">
              <w:rPr>
                <w:rFonts w:eastAsia="Times New Roman" w:cs="Times New Roman"/>
                <w:color w:val="000000"/>
                <w:sz w:val="20"/>
                <w:szCs w:val="20"/>
                <w:lang w:val="en-GB" w:eastAsia="es-EC"/>
              </w:rPr>
              <w:t>Giotopoulos</w:t>
            </w:r>
            <w:proofErr w:type="spellEnd"/>
            <w:r w:rsidRPr="0009669D">
              <w:rPr>
                <w:rFonts w:eastAsia="Times New Roman" w:cs="Times New Roman"/>
                <w:color w:val="000000"/>
                <w:sz w:val="20"/>
                <w:szCs w:val="20"/>
                <w:lang w:val="en-GB" w:eastAsia="es-EC"/>
              </w:rPr>
              <w:t xml:space="preserve"> (2010)</w:t>
            </w:r>
          </w:p>
        </w:tc>
      </w:tr>
      <w:tr w:rsidR="008D3FE1" w:rsidRPr="0009669D" w14:paraId="3146773E" w14:textId="77777777" w:rsidTr="00C200CC">
        <w:trPr>
          <w:trHeight w:val="300"/>
        </w:trPr>
        <w:tc>
          <w:tcPr>
            <w:tcW w:w="2700" w:type="dxa"/>
            <w:tcBorders>
              <w:top w:val="nil"/>
              <w:left w:val="nil"/>
              <w:bottom w:val="nil"/>
              <w:right w:val="nil"/>
            </w:tcBorders>
            <w:shd w:val="clear" w:color="000000" w:fill="FFFFFF"/>
            <w:vAlign w:val="center"/>
            <w:hideMark/>
          </w:tcPr>
          <w:p w14:paraId="2FC8DAD9"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Goddard et al. (2002)</w:t>
            </w:r>
          </w:p>
        </w:tc>
        <w:tc>
          <w:tcPr>
            <w:tcW w:w="2700" w:type="dxa"/>
            <w:tcBorders>
              <w:top w:val="nil"/>
              <w:left w:val="nil"/>
              <w:bottom w:val="nil"/>
              <w:right w:val="nil"/>
            </w:tcBorders>
            <w:shd w:val="clear" w:color="000000" w:fill="FFFFFF"/>
            <w:vAlign w:val="center"/>
            <w:hideMark/>
          </w:tcPr>
          <w:p w14:paraId="4780820F"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280A6160"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Aslan (2008)</w:t>
            </w:r>
          </w:p>
        </w:tc>
      </w:tr>
      <w:tr w:rsidR="008D3FE1" w:rsidRPr="0009669D" w14:paraId="157A8AED" w14:textId="77777777" w:rsidTr="00C200CC">
        <w:trPr>
          <w:trHeight w:val="300"/>
        </w:trPr>
        <w:tc>
          <w:tcPr>
            <w:tcW w:w="2700" w:type="dxa"/>
            <w:tcBorders>
              <w:top w:val="nil"/>
              <w:left w:val="nil"/>
              <w:bottom w:val="nil"/>
              <w:right w:val="nil"/>
            </w:tcBorders>
            <w:shd w:val="clear" w:color="000000" w:fill="FFFFFF"/>
            <w:vAlign w:val="center"/>
            <w:hideMark/>
          </w:tcPr>
          <w:p w14:paraId="7759576B"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xml:space="preserve">Pagano &amp; </w:t>
            </w:r>
            <w:proofErr w:type="spellStart"/>
            <w:r w:rsidRPr="0009669D">
              <w:rPr>
                <w:rFonts w:eastAsia="Times New Roman" w:cs="Times New Roman"/>
                <w:color w:val="000000"/>
                <w:sz w:val="20"/>
                <w:szCs w:val="20"/>
                <w:lang w:val="en-GB" w:eastAsia="es-EC"/>
              </w:rPr>
              <w:t>Schivardi</w:t>
            </w:r>
            <w:proofErr w:type="spellEnd"/>
            <w:r w:rsidRPr="0009669D">
              <w:rPr>
                <w:rFonts w:eastAsia="Times New Roman" w:cs="Times New Roman"/>
                <w:color w:val="000000"/>
                <w:sz w:val="20"/>
                <w:szCs w:val="20"/>
                <w:lang w:val="en-GB" w:eastAsia="es-EC"/>
              </w:rPr>
              <w:t xml:space="preserve"> (2003)</w:t>
            </w:r>
          </w:p>
        </w:tc>
        <w:tc>
          <w:tcPr>
            <w:tcW w:w="2700" w:type="dxa"/>
            <w:tcBorders>
              <w:top w:val="nil"/>
              <w:left w:val="nil"/>
              <w:bottom w:val="nil"/>
              <w:right w:val="nil"/>
            </w:tcBorders>
            <w:shd w:val="clear" w:color="000000" w:fill="FFFFFF"/>
            <w:vAlign w:val="center"/>
            <w:hideMark/>
          </w:tcPr>
          <w:p w14:paraId="397B922B"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54A33D7B"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r>
      <w:tr w:rsidR="008D3FE1" w:rsidRPr="0009669D" w14:paraId="37B51943" w14:textId="77777777" w:rsidTr="00C200CC">
        <w:trPr>
          <w:trHeight w:val="300"/>
        </w:trPr>
        <w:tc>
          <w:tcPr>
            <w:tcW w:w="2700" w:type="dxa"/>
            <w:tcBorders>
              <w:top w:val="nil"/>
              <w:left w:val="nil"/>
              <w:bottom w:val="nil"/>
              <w:right w:val="nil"/>
            </w:tcBorders>
            <w:shd w:val="clear" w:color="000000" w:fill="FFFFFF"/>
            <w:vAlign w:val="center"/>
            <w:hideMark/>
          </w:tcPr>
          <w:p w14:paraId="19306783"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Oliveira &amp; Fortunato (2003)</w:t>
            </w:r>
          </w:p>
        </w:tc>
        <w:tc>
          <w:tcPr>
            <w:tcW w:w="2700" w:type="dxa"/>
            <w:tcBorders>
              <w:top w:val="nil"/>
              <w:left w:val="nil"/>
              <w:bottom w:val="nil"/>
              <w:right w:val="nil"/>
            </w:tcBorders>
            <w:shd w:val="clear" w:color="000000" w:fill="FFFFFF"/>
            <w:vAlign w:val="center"/>
            <w:hideMark/>
          </w:tcPr>
          <w:p w14:paraId="70FFD604"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21C257F5"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r>
      <w:tr w:rsidR="008D3FE1" w:rsidRPr="0009669D" w14:paraId="3B105E88" w14:textId="77777777" w:rsidTr="00C200CC">
        <w:trPr>
          <w:trHeight w:val="300"/>
        </w:trPr>
        <w:tc>
          <w:tcPr>
            <w:tcW w:w="2700" w:type="dxa"/>
            <w:tcBorders>
              <w:top w:val="nil"/>
              <w:left w:val="nil"/>
              <w:bottom w:val="nil"/>
              <w:right w:val="nil"/>
            </w:tcBorders>
            <w:shd w:val="clear" w:color="000000" w:fill="FFFFFF"/>
            <w:vAlign w:val="center"/>
            <w:hideMark/>
          </w:tcPr>
          <w:p w14:paraId="3996EF37"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Harris &amp; Trainor (2005)</w:t>
            </w:r>
          </w:p>
        </w:tc>
        <w:tc>
          <w:tcPr>
            <w:tcW w:w="2700" w:type="dxa"/>
            <w:tcBorders>
              <w:top w:val="nil"/>
              <w:left w:val="nil"/>
              <w:bottom w:val="nil"/>
              <w:right w:val="nil"/>
            </w:tcBorders>
            <w:shd w:val="clear" w:color="000000" w:fill="FFFFFF"/>
            <w:vAlign w:val="center"/>
            <w:hideMark/>
          </w:tcPr>
          <w:p w14:paraId="6E63DC95"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08122489"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r>
      <w:tr w:rsidR="008D3FE1" w:rsidRPr="0009669D" w14:paraId="2015D95B" w14:textId="77777777" w:rsidTr="00C200CC">
        <w:trPr>
          <w:trHeight w:val="300"/>
        </w:trPr>
        <w:tc>
          <w:tcPr>
            <w:tcW w:w="2700" w:type="dxa"/>
            <w:tcBorders>
              <w:top w:val="nil"/>
              <w:left w:val="nil"/>
              <w:bottom w:val="nil"/>
              <w:right w:val="nil"/>
            </w:tcBorders>
            <w:shd w:val="clear" w:color="000000" w:fill="FFFFFF"/>
            <w:vAlign w:val="center"/>
            <w:hideMark/>
          </w:tcPr>
          <w:p w14:paraId="7E075B2C"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Coad (2008)</w:t>
            </w:r>
          </w:p>
        </w:tc>
        <w:tc>
          <w:tcPr>
            <w:tcW w:w="2700" w:type="dxa"/>
            <w:tcBorders>
              <w:top w:val="nil"/>
              <w:left w:val="nil"/>
              <w:bottom w:val="nil"/>
              <w:right w:val="nil"/>
            </w:tcBorders>
            <w:shd w:val="clear" w:color="000000" w:fill="FFFFFF"/>
            <w:vAlign w:val="center"/>
            <w:hideMark/>
          </w:tcPr>
          <w:p w14:paraId="7B41AA08"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2124E946"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r>
      <w:tr w:rsidR="008D3FE1" w:rsidRPr="0009669D" w14:paraId="3D1F0794" w14:textId="77777777" w:rsidTr="00C200CC">
        <w:trPr>
          <w:trHeight w:val="300"/>
        </w:trPr>
        <w:tc>
          <w:tcPr>
            <w:tcW w:w="2700" w:type="dxa"/>
            <w:tcBorders>
              <w:top w:val="nil"/>
              <w:left w:val="nil"/>
              <w:bottom w:val="nil"/>
              <w:right w:val="nil"/>
            </w:tcBorders>
            <w:shd w:val="clear" w:color="000000" w:fill="FFFFFF"/>
            <w:vAlign w:val="center"/>
            <w:hideMark/>
          </w:tcPr>
          <w:p w14:paraId="01403102"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Piergiovanni (2010)</w:t>
            </w:r>
          </w:p>
        </w:tc>
        <w:tc>
          <w:tcPr>
            <w:tcW w:w="2700" w:type="dxa"/>
            <w:tcBorders>
              <w:top w:val="nil"/>
              <w:left w:val="nil"/>
              <w:bottom w:val="nil"/>
              <w:right w:val="nil"/>
            </w:tcBorders>
            <w:shd w:val="clear" w:color="000000" w:fill="FFFFFF"/>
            <w:vAlign w:val="center"/>
            <w:hideMark/>
          </w:tcPr>
          <w:p w14:paraId="16A4CF01"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4BA61276"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r>
      <w:tr w:rsidR="008D3FE1" w:rsidRPr="0009669D" w14:paraId="19B2A147" w14:textId="77777777" w:rsidTr="00C200CC">
        <w:trPr>
          <w:trHeight w:val="300"/>
        </w:trPr>
        <w:tc>
          <w:tcPr>
            <w:tcW w:w="2700" w:type="dxa"/>
            <w:tcBorders>
              <w:top w:val="nil"/>
              <w:left w:val="nil"/>
              <w:bottom w:val="nil"/>
              <w:right w:val="nil"/>
            </w:tcBorders>
            <w:shd w:val="clear" w:color="000000" w:fill="FFFFFF"/>
            <w:vAlign w:val="center"/>
            <w:hideMark/>
          </w:tcPr>
          <w:p w14:paraId="6A729EAA"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Levratto</w:t>
            </w:r>
            <w:proofErr w:type="spellEnd"/>
            <w:r w:rsidRPr="0009669D">
              <w:rPr>
                <w:rFonts w:eastAsia="Times New Roman" w:cs="Times New Roman"/>
                <w:color w:val="000000"/>
                <w:sz w:val="20"/>
                <w:szCs w:val="20"/>
                <w:lang w:val="en-GB" w:eastAsia="es-EC"/>
              </w:rPr>
              <w:t xml:space="preserve"> et al. (2010)</w:t>
            </w:r>
          </w:p>
        </w:tc>
        <w:tc>
          <w:tcPr>
            <w:tcW w:w="2700" w:type="dxa"/>
            <w:tcBorders>
              <w:top w:val="nil"/>
              <w:left w:val="nil"/>
              <w:bottom w:val="nil"/>
              <w:right w:val="nil"/>
            </w:tcBorders>
            <w:shd w:val="clear" w:color="000000" w:fill="FFFFFF"/>
            <w:vAlign w:val="center"/>
            <w:hideMark/>
          </w:tcPr>
          <w:p w14:paraId="4A3DE129"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42F3AFF8"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r>
      <w:tr w:rsidR="008D3FE1" w:rsidRPr="0009669D" w14:paraId="45F2A99C" w14:textId="77777777" w:rsidTr="00C200CC">
        <w:trPr>
          <w:trHeight w:val="510"/>
        </w:trPr>
        <w:tc>
          <w:tcPr>
            <w:tcW w:w="2700" w:type="dxa"/>
            <w:tcBorders>
              <w:top w:val="nil"/>
              <w:left w:val="nil"/>
              <w:bottom w:val="nil"/>
              <w:right w:val="nil"/>
            </w:tcBorders>
            <w:shd w:val="clear" w:color="000000" w:fill="FFFFFF"/>
            <w:vAlign w:val="center"/>
            <w:hideMark/>
          </w:tcPr>
          <w:p w14:paraId="74E1CEA5"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Muhhopadhyay</w:t>
            </w:r>
            <w:proofErr w:type="spellEnd"/>
            <w:r w:rsidRPr="0009669D">
              <w:rPr>
                <w:rFonts w:eastAsia="Times New Roman" w:cs="Times New Roman"/>
                <w:color w:val="000000"/>
                <w:sz w:val="20"/>
                <w:szCs w:val="20"/>
                <w:lang w:val="en-GB" w:eastAsia="es-EC"/>
              </w:rPr>
              <w:t xml:space="preserve"> &amp; </w:t>
            </w:r>
            <w:proofErr w:type="spellStart"/>
            <w:r w:rsidRPr="0009669D">
              <w:rPr>
                <w:rFonts w:eastAsia="Times New Roman" w:cs="Times New Roman"/>
                <w:color w:val="000000"/>
                <w:sz w:val="20"/>
                <w:szCs w:val="20"/>
                <w:lang w:val="en-GB" w:eastAsia="es-EC"/>
              </w:rPr>
              <w:t>Amirkhalkhali</w:t>
            </w:r>
            <w:proofErr w:type="spellEnd"/>
            <w:r w:rsidRPr="0009669D">
              <w:rPr>
                <w:rFonts w:eastAsia="Times New Roman" w:cs="Times New Roman"/>
                <w:color w:val="000000"/>
                <w:sz w:val="20"/>
                <w:szCs w:val="20"/>
                <w:lang w:val="en-GB" w:eastAsia="es-EC"/>
              </w:rPr>
              <w:t xml:space="preserve"> (2010)</w:t>
            </w:r>
          </w:p>
        </w:tc>
        <w:tc>
          <w:tcPr>
            <w:tcW w:w="2700" w:type="dxa"/>
            <w:tcBorders>
              <w:top w:val="nil"/>
              <w:left w:val="nil"/>
              <w:bottom w:val="nil"/>
              <w:right w:val="nil"/>
            </w:tcBorders>
            <w:shd w:val="clear" w:color="000000" w:fill="FFFFFF"/>
            <w:vAlign w:val="center"/>
            <w:hideMark/>
          </w:tcPr>
          <w:p w14:paraId="15C19671"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3EB52253"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r>
      <w:tr w:rsidR="008D3FE1" w:rsidRPr="00CB7626" w14:paraId="038CDB1B" w14:textId="77777777" w:rsidTr="00C200CC">
        <w:trPr>
          <w:trHeight w:val="300"/>
        </w:trPr>
        <w:tc>
          <w:tcPr>
            <w:tcW w:w="8100" w:type="dxa"/>
            <w:gridSpan w:val="3"/>
            <w:tcBorders>
              <w:top w:val="single" w:sz="4" w:space="0" w:color="auto"/>
              <w:left w:val="nil"/>
              <w:bottom w:val="single" w:sz="4" w:space="0" w:color="auto"/>
              <w:right w:val="nil"/>
            </w:tcBorders>
            <w:shd w:val="clear" w:color="000000" w:fill="FFFFFF"/>
            <w:noWrap/>
            <w:vAlign w:val="center"/>
            <w:hideMark/>
          </w:tcPr>
          <w:p w14:paraId="0961AF40" w14:textId="41E042FC" w:rsidR="008D3FE1" w:rsidRPr="0009669D" w:rsidRDefault="00961345" w:rsidP="00C200CC">
            <w:pPr>
              <w:keepNext/>
              <w:spacing w:after="0"/>
              <w:ind w:firstLine="0"/>
              <w:jc w:val="center"/>
              <w:rPr>
                <w:rFonts w:eastAsia="Times New Roman" w:cs="Times New Roman"/>
                <w:b/>
                <w:bCs/>
                <w:color w:val="000000"/>
                <w:sz w:val="20"/>
                <w:szCs w:val="20"/>
                <w:lang w:val="en-GB" w:eastAsia="es-EC"/>
              </w:rPr>
            </w:pPr>
            <w:r w:rsidRPr="0009669D">
              <w:rPr>
                <w:rFonts w:eastAsia="Times New Roman" w:cs="Times New Roman"/>
                <w:b/>
                <w:bCs/>
                <w:color w:val="000000"/>
                <w:sz w:val="20"/>
                <w:szCs w:val="20"/>
                <w:lang w:val="en-GB" w:eastAsia="es-EC"/>
              </w:rPr>
              <w:t>Studies that include manufacturing companies in the sample</w:t>
            </w:r>
          </w:p>
        </w:tc>
      </w:tr>
      <w:tr w:rsidR="008D3FE1" w:rsidRPr="0009669D" w14:paraId="4FCDB7A2" w14:textId="77777777" w:rsidTr="00C200CC">
        <w:trPr>
          <w:trHeight w:val="300"/>
        </w:trPr>
        <w:tc>
          <w:tcPr>
            <w:tcW w:w="2700" w:type="dxa"/>
            <w:tcBorders>
              <w:top w:val="nil"/>
              <w:left w:val="nil"/>
              <w:bottom w:val="nil"/>
              <w:right w:val="nil"/>
            </w:tcBorders>
            <w:shd w:val="clear" w:color="000000" w:fill="FFFFFF"/>
            <w:vAlign w:val="center"/>
            <w:hideMark/>
          </w:tcPr>
          <w:p w14:paraId="4DBE5EC5"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Falk (2008)</w:t>
            </w:r>
          </w:p>
        </w:tc>
        <w:tc>
          <w:tcPr>
            <w:tcW w:w="2700" w:type="dxa"/>
            <w:tcBorders>
              <w:top w:val="nil"/>
              <w:left w:val="nil"/>
              <w:bottom w:val="nil"/>
              <w:right w:val="nil"/>
            </w:tcBorders>
            <w:shd w:val="clear" w:color="000000" w:fill="FFFFFF"/>
            <w:vAlign w:val="center"/>
            <w:hideMark/>
          </w:tcPr>
          <w:p w14:paraId="1B467BBE"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Lensink</w:t>
            </w:r>
            <w:proofErr w:type="spellEnd"/>
            <w:r w:rsidRPr="0009669D">
              <w:rPr>
                <w:rFonts w:eastAsia="Times New Roman" w:cs="Times New Roman"/>
                <w:color w:val="000000"/>
                <w:sz w:val="20"/>
                <w:szCs w:val="20"/>
                <w:lang w:val="en-GB" w:eastAsia="es-EC"/>
              </w:rPr>
              <w:t xml:space="preserve"> et al. (2005)</w:t>
            </w:r>
          </w:p>
        </w:tc>
        <w:tc>
          <w:tcPr>
            <w:tcW w:w="2700" w:type="dxa"/>
            <w:tcBorders>
              <w:top w:val="nil"/>
              <w:left w:val="nil"/>
              <w:bottom w:val="nil"/>
              <w:right w:val="nil"/>
            </w:tcBorders>
            <w:shd w:val="clear" w:color="000000" w:fill="FFFFFF"/>
            <w:vAlign w:val="center"/>
            <w:hideMark/>
          </w:tcPr>
          <w:p w14:paraId="7A05E922"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Carrizosa</w:t>
            </w:r>
            <w:proofErr w:type="spellEnd"/>
            <w:r w:rsidRPr="0009669D">
              <w:rPr>
                <w:rFonts w:eastAsia="Times New Roman" w:cs="Times New Roman"/>
                <w:color w:val="000000"/>
                <w:sz w:val="20"/>
                <w:szCs w:val="20"/>
                <w:lang w:val="en-GB" w:eastAsia="es-EC"/>
              </w:rPr>
              <w:t xml:space="preserve"> (2010)</w:t>
            </w:r>
          </w:p>
        </w:tc>
      </w:tr>
      <w:tr w:rsidR="008D3FE1" w:rsidRPr="0009669D" w14:paraId="4BADBB7A" w14:textId="77777777" w:rsidTr="00C200CC">
        <w:trPr>
          <w:trHeight w:val="300"/>
        </w:trPr>
        <w:tc>
          <w:tcPr>
            <w:tcW w:w="2700" w:type="dxa"/>
            <w:tcBorders>
              <w:top w:val="nil"/>
              <w:left w:val="nil"/>
              <w:bottom w:val="nil"/>
              <w:right w:val="nil"/>
            </w:tcBorders>
            <w:shd w:val="clear" w:color="000000" w:fill="FFFFFF"/>
            <w:vAlign w:val="center"/>
            <w:hideMark/>
          </w:tcPr>
          <w:p w14:paraId="220AAC7A"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Bentzen</w:t>
            </w:r>
            <w:proofErr w:type="spellEnd"/>
            <w:r w:rsidRPr="0009669D">
              <w:rPr>
                <w:rFonts w:eastAsia="Times New Roman" w:cs="Times New Roman"/>
                <w:color w:val="000000"/>
                <w:sz w:val="20"/>
                <w:szCs w:val="20"/>
                <w:lang w:val="en-GB" w:eastAsia="es-EC"/>
              </w:rPr>
              <w:t xml:space="preserve"> et al. (2012)</w:t>
            </w:r>
          </w:p>
        </w:tc>
        <w:tc>
          <w:tcPr>
            <w:tcW w:w="2700" w:type="dxa"/>
            <w:tcBorders>
              <w:top w:val="nil"/>
              <w:left w:val="nil"/>
              <w:bottom w:val="nil"/>
              <w:right w:val="nil"/>
            </w:tcBorders>
            <w:shd w:val="clear" w:color="000000" w:fill="FFFFFF"/>
            <w:vAlign w:val="center"/>
            <w:hideMark/>
          </w:tcPr>
          <w:p w14:paraId="0E878A02"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00C61F5C"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Serrasqueiro</w:t>
            </w:r>
            <w:proofErr w:type="spellEnd"/>
            <w:r w:rsidRPr="0009669D">
              <w:rPr>
                <w:rFonts w:eastAsia="Times New Roman" w:cs="Times New Roman"/>
                <w:color w:val="000000"/>
                <w:sz w:val="20"/>
                <w:szCs w:val="20"/>
                <w:lang w:val="en-GB" w:eastAsia="es-EC"/>
              </w:rPr>
              <w:t xml:space="preserve"> et al. (2010)</w:t>
            </w:r>
          </w:p>
        </w:tc>
      </w:tr>
      <w:tr w:rsidR="008D3FE1" w:rsidRPr="0009669D" w14:paraId="322729F9" w14:textId="77777777" w:rsidTr="00C200CC">
        <w:trPr>
          <w:trHeight w:val="300"/>
        </w:trPr>
        <w:tc>
          <w:tcPr>
            <w:tcW w:w="2700" w:type="dxa"/>
            <w:tcBorders>
              <w:top w:val="nil"/>
              <w:left w:val="nil"/>
              <w:bottom w:val="nil"/>
              <w:right w:val="nil"/>
            </w:tcBorders>
            <w:shd w:val="clear" w:color="000000" w:fill="FFFFFF"/>
            <w:vAlign w:val="center"/>
            <w:hideMark/>
          </w:tcPr>
          <w:p w14:paraId="62FE13DB"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Daunfeldt</w:t>
            </w:r>
            <w:proofErr w:type="spellEnd"/>
            <w:r w:rsidRPr="0009669D">
              <w:rPr>
                <w:rFonts w:eastAsia="Times New Roman" w:cs="Times New Roman"/>
                <w:color w:val="000000"/>
                <w:sz w:val="20"/>
                <w:szCs w:val="20"/>
                <w:lang w:val="en-GB" w:eastAsia="es-EC"/>
              </w:rPr>
              <w:t xml:space="preserve"> &amp; </w:t>
            </w:r>
            <w:proofErr w:type="spellStart"/>
            <w:r w:rsidRPr="0009669D">
              <w:rPr>
                <w:rFonts w:eastAsia="Times New Roman" w:cs="Times New Roman"/>
                <w:color w:val="000000"/>
                <w:sz w:val="20"/>
                <w:szCs w:val="20"/>
                <w:lang w:val="en-GB" w:eastAsia="es-EC"/>
              </w:rPr>
              <w:t>Elert</w:t>
            </w:r>
            <w:proofErr w:type="spellEnd"/>
            <w:r w:rsidRPr="0009669D">
              <w:rPr>
                <w:rFonts w:eastAsia="Times New Roman" w:cs="Times New Roman"/>
                <w:color w:val="000000"/>
                <w:sz w:val="20"/>
                <w:szCs w:val="20"/>
                <w:lang w:val="en-GB" w:eastAsia="es-EC"/>
              </w:rPr>
              <w:t xml:space="preserve"> (2013)</w:t>
            </w:r>
          </w:p>
        </w:tc>
        <w:tc>
          <w:tcPr>
            <w:tcW w:w="2700" w:type="dxa"/>
            <w:tcBorders>
              <w:top w:val="nil"/>
              <w:left w:val="nil"/>
              <w:bottom w:val="nil"/>
              <w:right w:val="nil"/>
            </w:tcBorders>
            <w:shd w:val="clear" w:color="000000" w:fill="FFFFFF"/>
            <w:vAlign w:val="center"/>
            <w:hideMark/>
          </w:tcPr>
          <w:p w14:paraId="484CAA60"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nil"/>
              <w:right w:val="nil"/>
            </w:tcBorders>
            <w:shd w:val="clear" w:color="000000" w:fill="FFFFFF"/>
            <w:vAlign w:val="center"/>
            <w:hideMark/>
          </w:tcPr>
          <w:p w14:paraId="4030FB58"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r>
      <w:tr w:rsidR="008D3FE1" w:rsidRPr="0009669D" w14:paraId="232E65A3" w14:textId="77777777" w:rsidTr="00C200CC">
        <w:trPr>
          <w:trHeight w:val="300"/>
        </w:trPr>
        <w:tc>
          <w:tcPr>
            <w:tcW w:w="2700" w:type="dxa"/>
            <w:tcBorders>
              <w:top w:val="nil"/>
              <w:left w:val="nil"/>
              <w:right w:val="nil"/>
            </w:tcBorders>
            <w:shd w:val="clear" w:color="000000" w:fill="FFFFFF"/>
            <w:vAlign w:val="center"/>
            <w:hideMark/>
          </w:tcPr>
          <w:p w14:paraId="2382087B"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proofErr w:type="spellStart"/>
            <w:r w:rsidRPr="0009669D">
              <w:rPr>
                <w:rFonts w:eastAsia="Times New Roman" w:cs="Times New Roman"/>
                <w:color w:val="000000"/>
                <w:sz w:val="20"/>
                <w:szCs w:val="20"/>
                <w:lang w:val="en-GB" w:eastAsia="es-EC"/>
              </w:rPr>
              <w:t>Segarra</w:t>
            </w:r>
            <w:proofErr w:type="spellEnd"/>
            <w:r w:rsidRPr="0009669D">
              <w:rPr>
                <w:rFonts w:eastAsia="Times New Roman" w:cs="Times New Roman"/>
                <w:color w:val="000000"/>
                <w:sz w:val="20"/>
                <w:szCs w:val="20"/>
                <w:lang w:val="en-GB" w:eastAsia="es-EC"/>
              </w:rPr>
              <w:t xml:space="preserve"> &amp; </w:t>
            </w:r>
            <w:proofErr w:type="spellStart"/>
            <w:r w:rsidRPr="0009669D">
              <w:rPr>
                <w:rFonts w:eastAsia="Times New Roman" w:cs="Times New Roman"/>
                <w:color w:val="000000"/>
                <w:sz w:val="20"/>
                <w:szCs w:val="20"/>
                <w:lang w:val="en-GB" w:eastAsia="es-EC"/>
              </w:rPr>
              <w:t>Teruel</w:t>
            </w:r>
            <w:proofErr w:type="spellEnd"/>
            <w:r w:rsidRPr="0009669D">
              <w:rPr>
                <w:rFonts w:eastAsia="Times New Roman" w:cs="Times New Roman"/>
                <w:color w:val="000000"/>
                <w:sz w:val="20"/>
                <w:szCs w:val="20"/>
                <w:lang w:val="en-GB" w:eastAsia="es-EC"/>
              </w:rPr>
              <w:t xml:space="preserve"> (2014)</w:t>
            </w:r>
          </w:p>
        </w:tc>
        <w:tc>
          <w:tcPr>
            <w:tcW w:w="2700" w:type="dxa"/>
            <w:tcBorders>
              <w:top w:val="nil"/>
              <w:left w:val="nil"/>
              <w:right w:val="nil"/>
            </w:tcBorders>
            <w:shd w:val="clear" w:color="000000" w:fill="FFFFFF"/>
            <w:vAlign w:val="center"/>
            <w:hideMark/>
          </w:tcPr>
          <w:p w14:paraId="4E8C140D"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right w:val="nil"/>
            </w:tcBorders>
            <w:shd w:val="clear" w:color="000000" w:fill="FFFFFF"/>
            <w:vAlign w:val="center"/>
            <w:hideMark/>
          </w:tcPr>
          <w:p w14:paraId="6EEA077E" w14:textId="77777777" w:rsidR="008D3FE1" w:rsidRPr="0009669D" w:rsidRDefault="008D3FE1" w:rsidP="00C200CC">
            <w:pPr>
              <w:keepNext/>
              <w:spacing w:after="0"/>
              <w:ind w:firstLine="0"/>
              <w:jc w:val="left"/>
              <w:rPr>
                <w:rFonts w:ascii="Calibri" w:eastAsia="Times New Roman" w:hAnsi="Calibri" w:cs="Times New Roman"/>
                <w:color w:val="000000"/>
                <w:sz w:val="22"/>
                <w:lang w:val="en-GB" w:eastAsia="es-EC"/>
              </w:rPr>
            </w:pPr>
            <w:r w:rsidRPr="0009669D">
              <w:rPr>
                <w:rFonts w:ascii="Calibri" w:eastAsia="Times New Roman" w:hAnsi="Calibri" w:cs="Times New Roman"/>
                <w:color w:val="000000"/>
                <w:sz w:val="22"/>
                <w:lang w:val="en-GB" w:eastAsia="es-EC"/>
              </w:rPr>
              <w:t> </w:t>
            </w:r>
          </w:p>
        </w:tc>
      </w:tr>
      <w:tr w:rsidR="008D3FE1" w:rsidRPr="0009669D" w14:paraId="0D0DBAD8" w14:textId="77777777" w:rsidTr="00C200CC">
        <w:trPr>
          <w:trHeight w:val="300"/>
        </w:trPr>
        <w:tc>
          <w:tcPr>
            <w:tcW w:w="2700" w:type="dxa"/>
            <w:tcBorders>
              <w:top w:val="nil"/>
              <w:left w:val="nil"/>
              <w:bottom w:val="single" w:sz="4" w:space="0" w:color="auto"/>
              <w:right w:val="nil"/>
            </w:tcBorders>
            <w:shd w:val="clear" w:color="000000" w:fill="FFFFFF"/>
            <w:vAlign w:val="center"/>
            <w:hideMark/>
          </w:tcPr>
          <w:p w14:paraId="45FDD13E"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Simbaña et al. (2017)</w:t>
            </w:r>
          </w:p>
        </w:tc>
        <w:tc>
          <w:tcPr>
            <w:tcW w:w="2700" w:type="dxa"/>
            <w:tcBorders>
              <w:top w:val="nil"/>
              <w:left w:val="nil"/>
              <w:bottom w:val="single" w:sz="4" w:space="0" w:color="auto"/>
              <w:right w:val="nil"/>
            </w:tcBorders>
            <w:shd w:val="clear" w:color="000000" w:fill="FFFFFF"/>
            <w:vAlign w:val="center"/>
            <w:hideMark/>
          </w:tcPr>
          <w:p w14:paraId="355105C0"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2700" w:type="dxa"/>
            <w:tcBorders>
              <w:top w:val="nil"/>
              <w:left w:val="nil"/>
              <w:bottom w:val="single" w:sz="4" w:space="0" w:color="auto"/>
              <w:right w:val="nil"/>
            </w:tcBorders>
            <w:shd w:val="clear" w:color="000000" w:fill="FFFFFF"/>
            <w:vAlign w:val="center"/>
            <w:hideMark/>
          </w:tcPr>
          <w:p w14:paraId="00566282" w14:textId="77777777" w:rsidR="008D3FE1" w:rsidRPr="0009669D" w:rsidRDefault="008D3FE1" w:rsidP="00C200CC">
            <w:pPr>
              <w:keepNext/>
              <w:spacing w:after="0"/>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r>
    </w:tbl>
    <w:p w14:paraId="62C5AAFD" w14:textId="77777777" w:rsidR="008D3FE1" w:rsidRPr="0009669D" w:rsidRDefault="008D3FE1" w:rsidP="008D3FE1">
      <w:pPr>
        <w:pStyle w:val="Ttulotablasygrficos"/>
        <w:spacing w:line="276" w:lineRule="auto"/>
        <w:ind w:firstLine="0"/>
        <w:rPr>
          <w:b w:val="0"/>
          <w:lang w:val="en-GB"/>
        </w:rPr>
      </w:pPr>
      <w:r w:rsidRPr="0009669D">
        <w:rPr>
          <w:b w:val="0"/>
          <w:lang w:val="en-GB"/>
        </w:rPr>
        <w:t>Source: own elaboration</w:t>
      </w:r>
    </w:p>
    <w:p w14:paraId="155503C9" w14:textId="77777777" w:rsidR="001461CC" w:rsidRPr="0009669D" w:rsidRDefault="001461CC" w:rsidP="0070319D">
      <w:pPr>
        <w:ind w:firstLine="0"/>
        <w:rPr>
          <w:lang w:val="en-GB"/>
        </w:rPr>
      </w:pPr>
      <w:r w:rsidRPr="0009669D">
        <w:rPr>
          <w:lang w:val="en-GB"/>
        </w:rPr>
        <w:t xml:space="preserve">It is important to mention that the only research for Ecuador related to this topic is that carried out by Simbaña et al. (2017) who established that </w:t>
      </w:r>
      <w:proofErr w:type="spellStart"/>
      <w:r w:rsidRPr="0009669D">
        <w:rPr>
          <w:lang w:val="en-GB"/>
        </w:rPr>
        <w:t>Gibrat's</w:t>
      </w:r>
      <w:proofErr w:type="spellEnd"/>
      <w:r w:rsidRPr="0009669D">
        <w:rPr>
          <w:lang w:val="en-GB"/>
        </w:rPr>
        <w:t xml:space="preserve"> law is not met for a sample of 41,333 Ecuadorian companies of all economic sectors for the period 2000-2013. </w:t>
      </w:r>
    </w:p>
    <w:p w14:paraId="797EEAD7" w14:textId="77777777" w:rsidR="001461CC" w:rsidRPr="0009669D" w:rsidRDefault="001461CC" w:rsidP="0070319D">
      <w:pPr>
        <w:ind w:firstLine="0"/>
        <w:rPr>
          <w:lang w:val="en-GB"/>
        </w:rPr>
      </w:pPr>
      <w:r w:rsidRPr="0009669D">
        <w:rPr>
          <w:lang w:val="en-GB"/>
        </w:rPr>
        <w:t xml:space="preserve">The results presented above do not show a conclusive idea of how the size of the company influences on its growth, which leads us to raise our first hypothesis: </w:t>
      </w:r>
    </w:p>
    <w:p w14:paraId="15043C7C" w14:textId="77777777" w:rsidR="001461CC" w:rsidRPr="0009669D" w:rsidRDefault="001461CC" w:rsidP="0070319D">
      <w:pPr>
        <w:ind w:firstLine="0"/>
        <w:rPr>
          <w:lang w:val="en-GB"/>
        </w:rPr>
      </w:pPr>
      <w:r w:rsidRPr="0009669D">
        <w:rPr>
          <w:i/>
          <w:lang w:val="en-GB"/>
        </w:rPr>
        <w:t>H</w:t>
      </w:r>
      <w:r w:rsidRPr="0009669D">
        <w:rPr>
          <w:i/>
          <w:vertAlign w:val="subscript"/>
          <w:lang w:val="en-GB"/>
        </w:rPr>
        <w:t>1</w:t>
      </w:r>
      <w:r w:rsidRPr="0009669D">
        <w:rPr>
          <w:lang w:val="en-GB"/>
        </w:rPr>
        <w:t>: There is independence between the size and growth of manufacturing companies.</w:t>
      </w:r>
    </w:p>
    <w:p w14:paraId="5E91169E" w14:textId="77777777" w:rsidR="001461CC" w:rsidRPr="0009669D" w:rsidRDefault="001461CC" w:rsidP="0070319D">
      <w:pPr>
        <w:ind w:firstLine="0"/>
        <w:rPr>
          <w:lang w:val="en-GB"/>
        </w:rPr>
      </w:pPr>
      <w:r w:rsidRPr="0009669D">
        <w:rPr>
          <w:rFonts w:cs="Times New Roman"/>
          <w:lang w:val="en-GB"/>
        </w:rPr>
        <w:lastRenderedPageBreak/>
        <w:t xml:space="preserve">In addition to size, other relevant variables have been considered when determining the growth of companies. Age is one of them, because it is considered an indicator of business stability and growth (Simbaña et al., 2017). Thus, Piergiovanni (2010) focused on studying growth in a group of Italian manufacturing companies, for the period 1995-2005 found that younger companies grew faster than mature companies, because companies grow at a faster pace in their early life. </w:t>
      </w:r>
      <w:r w:rsidRPr="0009669D">
        <w:rPr>
          <w:lang w:val="en-GB"/>
        </w:rPr>
        <w:t xml:space="preserve">However, after assuring their survival, they start a slower growth, these results agree with those found by Calvo (2004) and Fotopoulos &amp; </w:t>
      </w:r>
      <w:proofErr w:type="spellStart"/>
      <w:r w:rsidRPr="0009669D">
        <w:rPr>
          <w:lang w:val="en-GB"/>
        </w:rPr>
        <w:t>Giotopoulos</w:t>
      </w:r>
      <w:proofErr w:type="spellEnd"/>
      <w:r w:rsidRPr="0009669D">
        <w:rPr>
          <w:lang w:val="en-GB"/>
        </w:rPr>
        <w:t xml:space="preserve"> (2010). That is to say, that age has an impact on the growth of companies, based on the aforementioned arguments about the relationship between age and business growth, the following hypothesis is put forward:</w:t>
      </w:r>
    </w:p>
    <w:p w14:paraId="7F1DA6BA" w14:textId="77777777" w:rsidR="001461CC" w:rsidRPr="0009669D" w:rsidRDefault="002D5BE5" w:rsidP="0070319D">
      <w:pPr>
        <w:ind w:firstLine="0"/>
        <w:rPr>
          <w:lang w:val="en-GB"/>
        </w:rPr>
      </w:pP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m:t>
        </m:r>
      </m:oMath>
      <w:r w:rsidR="001461CC" w:rsidRPr="0009669D">
        <w:rPr>
          <w:lang w:val="en-GB"/>
        </w:rPr>
        <w:t xml:space="preserve"> Age has a negative impact on the growth of manufacturing enterprises.</w:t>
      </w:r>
    </w:p>
    <w:p w14:paraId="2F922D06" w14:textId="77777777" w:rsidR="001461CC" w:rsidRPr="0009669D" w:rsidRDefault="001461CC" w:rsidP="0070319D">
      <w:pPr>
        <w:ind w:firstLine="0"/>
        <w:rPr>
          <w:lang w:val="en-GB"/>
        </w:rPr>
      </w:pPr>
      <w:r w:rsidRPr="0009669D">
        <w:rPr>
          <w:lang w:val="en-GB"/>
        </w:rPr>
        <w:t>Another determinant of growth analy</w:t>
      </w:r>
      <w:r>
        <w:rPr>
          <w:lang w:val="en-GB"/>
        </w:rPr>
        <w:t>s</w:t>
      </w:r>
      <w:r w:rsidRPr="0009669D">
        <w:rPr>
          <w:lang w:val="en-GB"/>
        </w:rPr>
        <w:t>ed by the literature is capital, which can be used to measure the effect of economies of scale on the survival of companies (</w:t>
      </w:r>
      <w:proofErr w:type="spellStart"/>
      <w:r w:rsidRPr="0009669D">
        <w:rPr>
          <w:lang w:val="en-GB"/>
        </w:rPr>
        <w:t>Bentzen</w:t>
      </w:r>
      <w:proofErr w:type="spellEnd"/>
      <w:r w:rsidRPr="0009669D">
        <w:rPr>
          <w:lang w:val="en-GB"/>
        </w:rPr>
        <w:t xml:space="preserve"> et al., 2012). That is why several researchers in their studies consider capital a significant variable for business growth. On the other hand, </w:t>
      </w:r>
      <w:proofErr w:type="spellStart"/>
      <w:r w:rsidRPr="0009669D">
        <w:rPr>
          <w:lang w:val="en-GB"/>
        </w:rPr>
        <w:t>Segarra</w:t>
      </w:r>
      <w:proofErr w:type="spellEnd"/>
      <w:r w:rsidRPr="0009669D">
        <w:rPr>
          <w:lang w:val="en-GB"/>
        </w:rPr>
        <w:t xml:space="preserve"> &amp; </w:t>
      </w:r>
      <w:proofErr w:type="spellStart"/>
      <w:r w:rsidRPr="0009669D">
        <w:rPr>
          <w:lang w:val="en-GB"/>
        </w:rPr>
        <w:t>Teruel</w:t>
      </w:r>
      <w:proofErr w:type="spellEnd"/>
      <w:r w:rsidRPr="0009669D">
        <w:rPr>
          <w:lang w:val="en-GB"/>
        </w:rPr>
        <w:t xml:space="preserve"> (2014) established that capital shows a positive influence on the growth of the company. On the other hand, </w:t>
      </w:r>
      <w:proofErr w:type="spellStart"/>
      <w:r w:rsidRPr="0009669D">
        <w:rPr>
          <w:lang w:val="en-GB"/>
        </w:rPr>
        <w:t>Bentzen</w:t>
      </w:r>
      <w:proofErr w:type="spellEnd"/>
      <w:r w:rsidRPr="0009669D">
        <w:rPr>
          <w:lang w:val="en-GB"/>
        </w:rPr>
        <w:t xml:space="preserve"> et al. (2012) found a negative relationship between capital and business growth.</w:t>
      </w:r>
    </w:p>
    <w:p w14:paraId="15D617F9" w14:textId="77777777" w:rsidR="001461CC" w:rsidRPr="0009669D" w:rsidRDefault="001461CC" w:rsidP="0070319D">
      <w:pPr>
        <w:ind w:firstLine="0"/>
        <w:rPr>
          <w:lang w:val="en-GB"/>
        </w:rPr>
      </w:pPr>
      <w:r w:rsidRPr="0009669D">
        <w:rPr>
          <w:lang w:val="en-GB"/>
        </w:rPr>
        <w:t>Based on what has been mentioned in these studies, which suggests a positive relationship between the growth of capital and the growth of the company, the following hypothesis is posed:</w:t>
      </w:r>
    </w:p>
    <w:p w14:paraId="5162684C" w14:textId="77777777" w:rsidR="001461CC" w:rsidRPr="0009669D" w:rsidRDefault="001461CC" w:rsidP="0070319D">
      <w:pPr>
        <w:ind w:firstLine="0"/>
        <w:rPr>
          <w:lang w:val="en-GB"/>
        </w:rPr>
      </w:pPr>
      <w:r w:rsidRPr="0009669D">
        <w:rPr>
          <w:i/>
          <w:lang w:val="en-GB"/>
        </w:rPr>
        <w:t>H</w:t>
      </w:r>
      <w:r w:rsidRPr="0009669D">
        <w:rPr>
          <w:i/>
          <w:vertAlign w:val="subscript"/>
          <w:lang w:val="en-GB"/>
        </w:rPr>
        <w:t>3</w:t>
      </w:r>
      <w:r w:rsidRPr="0009669D">
        <w:rPr>
          <w:lang w:val="en-GB"/>
        </w:rPr>
        <w:t>: Capital growth has a positive impact on the growth of manufacturing companies.</w:t>
      </w:r>
    </w:p>
    <w:p w14:paraId="6ED0A586" w14:textId="77777777" w:rsidR="00B554FA" w:rsidRPr="0009669D" w:rsidRDefault="00B554FA" w:rsidP="00B554FA">
      <w:pPr>
        <w:spacing w:after="0"/>
        <w:ind w:firstLine="0"/>
        <w:rPr>
          <w:b/>
          <w:lang w:val="en-GB"/>
        </w:rPr>
      </w:pPr>
    </w:p>
    <w:p w14:paraId="2B3626A1" w14:textId="3383DEBA" w:rsidR="0004654D" w:rsidRPr="0009669D" w:rsidRDefault="0004654D" w:rsidP="00B30796">
      <w:pPr>
        <w:pStyle w:val="Prrafodelista"/>
        <w:numPr>
          <w:ilvl w:val="0"/>
          <w:numId w:val="19"/>
        </w:numPr>
        <w:spacing w:after="0"/>
        <w:rPr>
          <w:b/>
          <w:lang w:val="en-GB"/>
        </w:rPr>
      </w:pPr>
      <w:r w:rsidRPr="0009669D">
        <w:rPr>
          <w:b/>
          <w:lang w:val="en-GB"/>
        </w:rPr>
        <w:t>MET</w:t>
      </w:r>
      <w:r w:rsidR="00B554FA" w:rsidRPr="0009669D">
        <w:rPr>
          <w:b/>
          <w:lang w:val="en-GB"/>
        </w:rPr>
        <w:t>H</w:t>
      </w:r>
      <w:r w:rsidR="00384C08" w:rsidRPr="0009669D">
        <w:rPr>
          <w:b/>
          <w:lang w:val="en-GB"/>
        </w:rPr>
        <w:t>ODO</w:t>
      </w:r>
      <w:r w:rsidR="00B554FA" w:rsidRPr="0009669D">
        <w:rPr>
          <w:b/>
          <w:lang w:val="en-GB"/>
        </w:rPr>
        <w:t>LOGY</w:t>
      </w:r>
    </w:p>
    <w:p w14:paraId="6A2FABAA" w14:textId="77777777" w:rsidR="00B94705" w:rsidRPr="0009669D" w:rsidRDefault="00B94705" w:rsidP="0070319D">
      <w:pPr>
        <w:spacing w:after="0"/>
        <w:ind w:firstLine="0"/>
        <w:rPr>
          <w:lang w:val="en-GB"/>
        </w:rPr>
      </w:pPr>
    </w:p>
    <w:p w14:paraId="5468F127" w14:textId="28F0C821" w:rsidR="00277E6E" w:rsidRPr="0009669D" w:rsidRDefault="00B554FA" w:rsidP="0070319D">
      <w:pPr>
        <w:spacing w:after="0"/>
        <w:ind w:firstLine="0"/>
        <w:rPr>
          <w:lang w:val="en-GB"/>
        </w:rPr>
      </w:pPr>
      <w:r w:rsidRPr="0009669D">
        <w:rPr>
          <w:lang w:val="en-GB"/>
        </w:rPr>
        <w:t>The present section describes the sample and the variables used, as well as the estimation strategy and the specification of the econometric model used in the multivariate analysis.</w:t>
      </w:r>
    </w:p>
    <w:p w14:paraId="383A57CE" w14:textId="77777777" w:rsidR="00B554FA" w:rsidRPr="0009669D" w:rsidRDefault="00B554FA" w:rsidP="000A696F">
      <w:pPr>
        <w:spacing w:after="0"/>
        <w:ind w:firstLine="0"/>
        <w:rPr>
          <w:lang w:val="en-GB"/>
        </w:rPr>
      </w:pPr>
    </w:p>
    <w:p w14:paraId="3419A880" w14:textId="13A6FBD7" w:rsidR="0004654D" w:rsidRPr="0009669D" w:rsidRDefault="00680D04" w:rsidP="000A696F">
      <w:pPr>
        <w:pStyle w:val="Prrafodelista"/>
        <w:numPr>
          <w:ilvl w:val="1"/>
          <w:numId w:val="19"/>
        </w:numPr>
        <w:spacing w:after="0"/>
        <w:rPr>
          <w:b/>
          <w:lang w:val="en-GB"/>
        </w:rPr>
      </w:pPr>
      <w:r w:rsidRPr="0009669D">
        <w:rPr>
          <w:b/>
          <w:lang w:val="en-GB"/>
        </w:rPr>
        <w:t>Data and Sample</w:t>
      </w:r>
    </w:p>
    <w:p w14:paraId="4ABD918C" w14:textId="77777777" w:rsidR="00277E6E" w:rsidRPr="0009669D" w:rsidRDefault="00277E6E" w:rsidP="00277E6E">
      <w:pPr>
        <w:spacing w:after="0"/>
        <w:rPr>
          <w:b/>
          <w:lang w:val="en-GB"/>
        </w:rPr>
      </w:pPr>
    </w:p>
    <w:p w14:paraId="32A38E88" w14:textId="5F203F0C" w:rsidR="00680D04" w:rsidRPr="0009669D" w:rsidRDefault="00680D04" w:rsidP="0070319D">
      <w:pPr>
        <w:ind w:firstLine="0"/>
        <w:rPr>
          <w:lang w:val="en-GB"/>
        </w:rPr>
      </w:pPr>
      <w:r w:rsidRPr="0009669D">
        <w:rPr>
          <w:lang w:val="en-GB"/>
        </w:rPr>
        <w:t>The information analy</w:t>
      </w:r>
      <w:r w:rsidR="0009669D">
        <w:rPr>
          <w:lang w:val="en-GB"/>
        </w:rPr>
        <w:t>s</w:t>
      </w:r>
      <w:r w:rsidRPr="0009669D">
        <w:rPr>
          <w:lang w:val="en-GB"/>
        </w:rPr>
        <w:t xml:space="preserve">ed was extracted from the database of the </w:t>
      </w:r>
      <w:proofErr w:type="spellStart"/>
      <w:r w:rsidRPr="0009669D">
        <w:rPr>
          <w:lang w:val="en-GB"/>
        </w:rPr>
        <w:t>Superintendency</w:t>
      </w:r>
      <w:proofErr w:type="spellEnd"/>
      <w:r w:rsidRPr="0009669D">
        <w:rPr>
          <w:lang w:val="en-GB"/>
        </w:rPr>
        <w:t xml:space="preserve"> of Companies of Ecuador. The complete directory of companies was constituted by a total of 183,088 companies, which after being refined according to criteria such as: legal situation, economic activity, presentation of balance sheets, size of the company and inconsistencies in the observations, resulted in a final sample of 9,778 observations corresponding to 2,915 companies, which remained active during the period 2012-2016, the summary of the purification performed can be seen in Table 2.</w:t>
      </w:r>
      <w:r w:rsidR="0004654D" w:rsidRPr="0009669D">
        <w:rPr>
          <w:lang w:val="en-GB"/>
        </w:rPr>
        <w:t xml:space="preserve"> </w:t>
      </w:r>
      <w:r w:rsidRPr="0009669D">
        <w:rPr>
          <w:lang w:val="en-GB"/>
        </w:rPr>
        <w:t xml:space="preserve">The debugging process made it possible to establish a panel database that presents temporary and cross-sectional dimensions of the companies. The importance of the models based on this technique is that they allow capturing both specific individual effects and temporal effects (Arellano &amp; </w:t>
      </w:r>
      <w:proofErr w:type="spellStart"/>
      <w:r w:rsidRPr="0009669D">
        <w:rPr>
          <w:lang w:val="en-GB"/>
        </w:rPr>
        <w:t>Bover</w:t>
      </w:r>
      <w:proofErr w:type="spellEnd"/>
      <w:r w:rsidRPr="0009669D">
        <w:rPr>
          <w:lang w:val="en-GB"/>
        </w:rPr>
        <w:t>, 1990).</w:t>
      </w:r>
    </w:p>
    <w:p w14:paraId="6995F85B" w14:textId="4E7E348D" w:rsidR="0004654D" w:rsidRPr="0009669D" w:rsidRDefault="009F0715" w:rsidP="0070319D">
      <w:pPr>
        <w:ind w:firstLine="0"/>
        <w:rPr>
          <w:lang w:val="en-GB"/>
        </w:rPr>
      </w:pPr>
      <w:bookmarkStart w:id="1" w:name="_Ref509217305"/>
      <w:r w:rsidRPr="0009669D">
        <w:rPr>
          <w:lang w:val="en-GB"/>
        </w:rPr>
        <w:t xml:space="preserve">This study focuses its analysis on a database composed of small and medium-sized companies, which is structured in 30% by medium-sized companies and 70% by small companies, which corroborates the figures reported by the INEC (2014), affirming that within the group of SMEs, the greatest number of companies is concentrated in the group of small companies. </w:t>
      </w:r>
      <w:bookmarkEnd w:id="1"/>
    </w:p>
    <w:p w14:paraId="78EE74DE" w14:textId="43DE9D36" w:rsidR="009F0715" w:rsidRPr="0009669D" w:rsidRDefault="008D3FE1" w:rsidP="008D3FE1">
      <w:pPr>
        <w:pStyle w:val="Ttulotablasygrficos"/>
        <w:keepNext/>
        <w:spacing w:before="100" w:beforeAutospacing="1" w:line="276" w:lineRule="auto"/>
        <w:ind w:firstLine="0"/>
        <w:rPr>
          <w:lang w:val="en-GB"/>
        </w:rPr>
      </w:pPr>
      <w:r w:rsidRPr="0009669D">
        <w:rPr>
          <w:lang w:val="en-GB"/>
        </w:rPr>
        <w:lastRenderedPageBreak/>
        <w:t xml:space="preserve">Table </w:t>
      </w:r>
      <w:r w:rsidRPr="0009669D">
        <w:rPr>
          <w:noProof/>
          <w:lang w:val="en-GB"/>
        </w:rPr>
        <w:t>2</w:t>
      </w:r>
      <w:r w:rsidRPr="0009669D">
        <w:rPr>
          <w:lang w:val="en-GB"/>
        </w:rPr>
        <w:t>. Firms sample construction</w:t>
      </w:r>
    </w:p>
    <w:tbl>
      <w:tblPr>
        <w:tblW w:w="5421" w:type="dxa"/>
        <w:jc w:val="center"/>
        <w:tblCellMar>
          <w:left w:w="70" w:type="dxa"/>
          <w:right w:w="70" w:type="dxa"/>
        </w:tblCellMar>
        <w:tblLook w:val="04A0" w:firstRow="1" w:lastRow="0" w:firstColumn="1" w:lastColumn="0" w:noHBand="0" w:noVBand="1"/>
      </w:tblPr>
      <w:tblGrid>
        <w:gridCol w:w="4480"/>
        <w:gridCol w:w="941"/>
      </w:tblGrid>
      <w:tr w:rsidR="0004654D" w:rsidRPr="0009669D" w14:paraId="647EDF42" w14:textId="77777777" w:rsidTr="0004654D">
        <w:trPr>
          <w:trHeight w:val="300"/>
          <w:jc w:val="center"/>
        </w:trPr>
        <w:tc>
          <w:tcPr>
            <w:tcW w:w="4480" w:type="dxa"/>
            <w:tcBorders>
              <w:top w:val="single" w:sz="4" w:space="0" w:color="auto"/>
              <w:left w:val="nil"/>
              <w:bottom w:val="single" w:sz="4" w:space="0" w:color="auto"/>
              <w:right w:val="nil"/>
            </w:tcBorders>
            <w:shd w:val="clear" w:color="auto" w:fill="FFFFFF"/>
            <w:noWrap/>
            <w:vAlign w:val="center"/>
            <w:hideMark/>
          </w:tcPr>
          <w:p w14:paraId="3965BB69" w14:textId="77777777" w:rsidR="0004654D" w:rsidRPr="0009669D" w:rsidRDefault="0004654D" w:rsidP="000A696F">
            <w:pPr>
              <w:keepNext/>
              <w:spacing w:after="0"/>
              <w:ind w:firstLine="0"/>
              <w:jc w:val="left"/>
              <w:rPr>
                <w:rFonts w:eastAsia="Calibri" w:cs="Times New Roman"/>
                <w:b/>
                <w:bCs/>
                <w:sz w:val="20"/>
                <w:szCs w:val="20"/>
                <w:lang w:val="en-GB"/>
              </w:rPr>
            </w:pPr>
            <w:r w:rsidRPr="0009669D">
              <w:rPr>
                <w:rFonts w:eastAsia="Calibri" w:cs="Times New Roman"/>
                <w:b/>
                <w:bCs/>
                <w:sz w:val="20"/>
                <w:szCs w:val="20"/>
                <w:lang w:val="en-GB"/>
              </w:rPr>
              <w:t>Item</w:t>
            </w:r>
          </w:p>
        </w:tc>
        <w:tc>
          <w:tcPr>
            <w:tcW w:w="941" w:type="dxa"/>
            <w:tcBorders>
              <w:top w:val="single" w:sz="4" w:space="0" w:color="auto"/>
              <w:left w:val="nil"/>
              <w:bottom w:val="single" w:sz="4" w:space="0" w:color="auto"/>
              <w:right w:val="nil"/>
            </w:tcBorders>
            <w:shd w:val="clear" w:color="auto" w:fill="FFFFFF"/>
            <w:noWrap/>
            <w:vAlign w:val="center"/>
            <w:hideMark/>
          </w:tcPr>
          <w:p w14:paraId="0ED38AC2" w14:textId="77777777" w:rsidR="0004654D" w:rsidRPr="0009669D" w:rsidRDefault="0004654D" w:rsidP="000A696F">
            <w:pPr>
              <w:keepNext/>
              <w:spacing w:after="0"/>
              <w:ind w:firstLine="0"/>
              <w:jc w:val="center"/>
              <w:rPr>
                <w:rFonts w:eastAsia="Calibri" w:cs="Times New Roman"/>
                <w:b/>
                <w:bCs/>
                <w:sz w:val="20"/>
                <w:szCs w:val="20"/>
                <w:lang w:val="en-GB"/>
              </w:rPr>
            </w:pPr>
            <w:r w:rsidRPr="0009669D">
              <w:rPr>
                <w:rFonts w:eastAsia="Calibri" w:cs="Times New Roman"/>
                <w:b/>
                <w:bCs/>
                <w:sz w:val="20"/>
                <w:szCs w:val="20"/>
                <w:lang w:val="en-GB"/>
              </w:rPr>
              <w:t>Firms</w:t>
            </w:r>
          </w:p>
        </w:tc>
      </w:tr>
      <w:tr w:rsidR="0004654D" w:rsidRPr="0009669D" w14:paraId="11660BEC" w14:textId="77777777" w:rsidTr="0004654D">
        <w:trPr>
          <w:trHeight w:val="300"/>
          <w:jc w:val="center"/>
        </w:trPr>
        <w:tc>
          <w:tcPr>
            <w:tcW w:w="4480" w:type="dxa"/>
            <w:shd w:val="clear" w:color="auto" w:fill="FFFFFF"/>
            <w:vAlign w:val="center"/>
            <w:hideMark/>
          </w:tcPr>
          <w:p w14:paraId="7247DC50" w14:textId="2751FD62" w:rsidR="0004654D" w:rsidRPr="0009669D" w:rsidRDefault="009F0715" w:rsidP="000A696F">
            <w:pPr>
              <w:keepNext/>
              <w:spacing w:after="0"/>
              <w:ind w:firstLine="0"/>
              <w:jc w:val="left"/>
              <w:rPr>
                <w:rFonts w:eastAsia="Calibri" w:cs="Times New Roman"/>
                <w:sz w:val="20"/>
                <w:szCs w:val="20"/>
                <w:lang w:val="en-GB"/>
              </w:rPr>
            </w:pPr>
            <w:r w:rsidRPr="0009669D">
              <w:rPr>
                <w:rFonts w:eastAsia="Calibri" w:cs="Times New Roman"/>
                <w:sz w:val="20"/>
                <w:szCs w:val="20"/>
                <w:lang w:val="en-GB"/>
              </w:rPr>
              <w:t>Total companies directory</w:t>
            </w:r>
          </w:p>
        </w:tc>
        <w:tc>
          <w:tcPr>
            <w:tcW w:w="941" w:type="dxa"/>
            <w:shd w:val="clear" w:color="auto" w:fill="FFFFFF"/>
            <w:noWrap/>
            <w:vAlign w:val="center"/>
            <w:hideMark/>
          </w:tcPr>
          <w:p w14:paraId="49DBD422" w14:textId="77777777" w:rsidR="0004654D" w:rsidRPr="0009669D" w:rsidRDefault="0004654D" w:rsidP="000A696F">
            <w:pPr>
              <w:keepNext/>
              <w:spacing w:after="0"/>
              <w:ind w:firstLine="0"/>
              <w:jc w:val="right"/>
              <w:rPr>
                <w:rFonts w:eastAsia="Calibri" w:cs="Times New Roman"/>
                <w:sz w:val="20"/>
                <w:szCs w:val="20"/>
                <w:lang w:val="en-GB"/>
              </w:rPr>
            </w:pPr>
            <w:r w:rsidRPr="0009669D">
              <w:rPr>
                <w:rFonts w:eastAsia="Calibri" w:cs="Times New Roman"/>
                <w:sz w:val="20"/>
                <w:szCs w:val="20"/>
                <w:lang w:val="en-GB"/>
              </w:rPr>
              <w:t>183.088</w:t>
            </w:r>
          </w:p>
        </w:tc>
      </w:tr>
      <w:tr w:rsidR="0004654D" w:rsidRPr="0009669D" w14:paraId="48572D5C" w14:textId="77777777" w:rsidTr="0004654D">
        <w:trPr>
          <w:trHeight w:val="300"/>
          <w:jc w:val="center"/>
        </w:trPr>
        <w:tc>
          <w:tcPr>
            <w:tcW w:w="4480" w:type="dxa"/>
            <w:shd w:val="clear" w:color="auto" w:fill="FFFFFF"/>
            <w:noWrap/>
            <w:vAlign w:val="center"/>
            <w:hideMark/>
          </w:tcPr>
          <w:p w14:paraId="12E421F9" w14:textId="123CA5EE" w:rsidR="0004654D" w:rsidRPr="0009669D" w:rsidRDefault="009F0715" w:rsidP="000A696F">
            <w:pPr>
              <w:keepNext/>
              <w:spacing w:after="0"/>
              <w:ind w:firstLine="0"/>
              <w:jc w:val="left"/>
              <w:rPr>
                <w:rFonts w:eastAsia="Calibri" w:cs="Times New Roman"/>
                <w:sz w:val="20"/>
                <w:szCs w:val="20"/>
                <w:lang w:val="en-GB"/>
              </w:rPr>
            </w:pPr>
            <w:r w:rsidRPr="0009669D">
              <w:rPr>
                <w:rFonts w:eastAsia="Calibri" w:cs="Times New Roman"/>
                <w:sz w:val="20"/>
                <w:szCs w:val="20"/>
                <w:lang w:val="en-GB"/>
              </w:rPr>
              <w:t>Active companies</w:t>
            </w:r>
          </w:p>
        </w:tc>
        <w:tc>
          <w:tcPr>
            <w:tcW w:w="941" w:type="dxa"/>
            <w:shd w:val="clear" w:color="auto" w:fill="FFFFFF"/>
            <w:noWrap/>
            <w:vAlign w:val="center"/>
            <w:hideMark/>
          </w:tcPr>
          <w:p w14:paraId="54F7FAA3" w14:textId="77777777" w:rsidR="0004654D" w:rsidRPr="0009669D" w:rsidRDefault="0004654D" w:rsidP="000A696F">
            <w:pPr>
              <w:keepNext/>
              <w:spacing w:after="0"/>
              <w:ind w:firstLine="0"/>
              <w:jc w:val="right"/>
              <w:rPr>
                <w:rFonts w:eastAsia="Calibri" w:cs="Times New Roman"/>
                <w:sz w:val="20"/>
                <w:szCs w:val="20"/>
                <w:lang w:val="en-GB"/>
              </w:rPr>
            </w:pPr>
            <w:r w:rsidRPr="0009669D">
              <w:rPr>
                <w:rFonts w:eastAsia="Calibri" w:cs="Times New Roman"/>
                <w:sz w:val="20"/>
                <w:szCs w:val="20"/>
                <w:lang w:val="en-GB"/>
              </w:rPr>
              <w:t>78.735</w:t>
            </w:r>
          </w:p>
        </w:tc>
      </w:tr>
      <w:tr w:rsidR="0004654D" w:rsidRPr="0009669D" w14:paraId="17C68FD3" w14:textId="77777777" w:rsidTr="0004654D">
        <w:trPr>
          <w:trHeight w:val="300"/>
          <w:jc w:val="center"/>
        </w:trPr>
        <w:tc>
          <w:tcPr>
            <w:tcW w:w="4480" w:type="dxa"/>
            <w:shd w:val="clear" w:color="auto" w:fill="FFFFFF"/>
            <w:noWrap/>
            <w:vAlign w:val="center"/>
            <w:hideMark/>
          </w:tcPr>
          <w:p w14:paraId="5373FCB6" w14:textId="356BFD95" w:rsidR="0004654D" w:rsidRPr="0009669D" w:rsidRDefault="009F0715" w:rsidP="000A696F">
            <w:pPr>
              <w:keepNext/>
              <w:spacing w:after="0"/>
              <w:ind w:firstLine="0"/>
              <w:jc w:val="left"/>
              <w:rPr>
                <w:rFonts w:eastAsia="Calibri" w:cs="Times New Roman"/>
                <w:sz w:val="20"/>
                <w:szCs w:val="20"/>
                <w:lang w:val="en-GB"/>
              </w:rPr>
            </w:pPr>
            <w:r w:rsidRPr="0009669D">
              <w:rPr>
                <w:rFonts w:eastAsia="Calibri" w:cs="Times New Roman"/>
                <w:sz w:val="20"/>
                <w:szCs w:val="20"/>
                <w:lang w:val="en-GB"/>
              </w:rPr>
              <w:t>Active manufacturing companies</w:t>
            </w:r>
          </w:p>
        </w:tc>
        <w:tc>
          <w:tcPr>
            <w:tcW w:w="941" w:type="dxa"/>
            <w:shd w:val="clear" w:color="auto" w:fill="FFFFFF"/>
            <w:noWrap/>
            <w:vAlign w:val="center"/>
            <w:hideMark/>
          </w:tcPr>
          <w:p w14:paraId="23B2A73D" w14:textId="77777777" w:rsidR="0004654D" w:rsidRPr="0009669D" w:rsidRDefault="0004654D" w:rsidP="000A696F">
            <w:pPr>
              <w:keepNext/>
              <w:spacing w:after="0"/>
              <w:ind w:firstLine="0"/>
              <w:jc w:val="right"/>
              <w:rPr>
                <w:rFonts w:eastAsia="Calibri" w:cs="Times New Roman"/>
                <w:sz w:val="20"/>
                <w:szCs w:val="20"/>
                <w:lang w:val="en-GB"/>
              </w:rPr>
            </w:pPr>
            <w:r w:rsidRPr="0009669D">
              <w:rPr>
                <w:rFonts w:eastAsia="Calibri" w:cs="Times New Roman"/>
                <w:sz w:val="20"/>
                <w:szCs w:val="20"/>
                <w:lang w:val="en-GB"/>
              </w:rPr>
              <w:t>5.980</w:t>
            </w:r>
          </w:p>
        </w:tc>
      </w:tr>
      <w:tr w:rsidR="0004654D" w:rsidRPr="0009669D" w14:paraId="77ED4478" w14:textId="77777777" w:rsidTr="0004654D">
        <w:trPr>
          <w:trHeight w:val="555"/>
          <w:jc w:val="center"/>
        </w:trPr>
        <w:tc>
          <w:tcPr>
            <w:tcW w:w="4480" w:type="dxa"/>
            <w:shd w:val="clear" w:color="auto" w:fill="FFFFFF"/>
            <w:vAlign w:val="center"/>
            <w:hideMark/>
          </w:tcPr>
          <w:p w14:paraId="37886220" w14:textId="378499C6" w:rsidR="0004654D" w:rsidRPr="0009669D" w:rsidRDefault="009F0715" w:rsidP="000A696F">
            <w:pPr>
              <w:keepNext/>
              <w:spacing w:after="0"/>
              <w:ind w:firstLine="0"/>
              <w:jc w:val="left"/>
              <w:rPr>
                <w:rFonts w:eastAsia="Calibri" w:cs="Times New Roman"/>
                <w:sz w:val="20"/>
                <w:szCs w:val="20"/>
                <w:lang w:val="en-GB"/>
              </w:rPr>
            </w:pPr>
            <w:r w:rsidRPr="0009669D">
              <w:rPr>
                <w:rFonts w:eastAsia="Calibri" w:cs="Times New Roman"/>
                <w:sz w:val="20"/>
                <w:szCs w:val="20"/>
                <w:lang w:val="en-GB"/>
              </w:rPr>
              <w:t>Active manufacturing companies that presented balance sheets in the period 2012-2016</w:t>
            </w:r>
          </w:p>
        </w:tc>
        <w:tc>
          <w:tcPr>
            <w:tcW w:w="941" w:type="dxa"/>
            <w:shd w:val="clear" w:color="auto" w:fill="FFFFFF"/>
            <w:noWrap/>
            <w:vAlign w:val="center"/>
            <w:hideMark/>
          </w:tcPr>
          <w:p w14:paraId="0629429D" w14:textId="77777777" w:rsidR="0004654D" w:rsidRPr="0009669D" w:rsidRDefault="0004654D" w:rsidP="000A696F">
            <w:pPr>
              <w:keepNext/>
              <w:spacing w:after="0"/>
              <w:ind w:firstLine="0"/>
              <w:jc w:val="right"/>
              <w:rPr>
                <w:rFonts w:eastAsia="Calibri" w:cs="Times New Roman"/>
                <w:sz w:val="20"/>
                <w:szCs w:val="20"/>
                <w:lang w:val="en-GB"/>
              </w:rPr>
            </w:pPr>
            <w:r w:rsidRPr="0009669D">
              <w:rPr>
                <w:rFonts w:eastAsia="Calibri" w:cs="Times New Roman"/>
                <w:sz w:val="20"/>
                <w:szCs w:val="20"/>
                <w:lang w:val="en-GB"/>
              </w:rPr>
              <w:t>5.145</w:t>
            </w:r>
          </w:p>
        </w:tc>
      </w:tr>
      <w:tr w:rsidR="0004654D" w:rsidRPr="0009669D" w14:paraId="29503538" w14:textId="77777777" w:rsidTr="0004654D">
        <w:trPr>
          <w:trHeight w:val="570"/>
          <w:jc w:val="center"/>
        </w:trPr>
        <w:tc>
          <w:tcPr>
            <w:tcW w:w="4480" w:type="dxa"/>
            <w:shd w:val="clear" w:color="auto" w:fill="FFFFFF"/>
            <w:vAlign w:val="center"/>
            <w:hideMark/>
          </w:tcPr>
          <w:p w14:paraId="64689BB7" w14:textId="5CDE188E" w:rsidR="0004654D" w:rsidRPr="0009669D" w:rsidRDefault="009F0715" w:rsidP="000A696F">
            <w:pPr>
              <w:keepNext/>
              <w:spacing w:after="0"/>
              <w:ind w:firstLine="0"/>
              <w:jc w:val="left"/>
              <w:rPr>
                <w:rFonts w:eastAsia="Calibri" w:cs="Times New Roman"/>
                <w:sz w:val="20"/>
                <w:szCs w:val="20"/>
                <w:lang w:val="en-GB"/>
              </w:rPr>
            </w:pPr>
            <w:r w:rsidRPr="0009669D">
              <w:rPr>
                <w:rFonts w:eastAsia="Calibri" w:cs="Times New Roman"/>
                <w:sz w:val="20"/>
                <w:szCs w:val="20"/>
                <w:lang w:val="en-GB"/>
              </w:rPr>
              <w:t>Active manufacturing SMEs that presented balance sheets in the period 2012-2016</w:t>
            </w:r>
          </w:p>
        </w:tc>
        <w:tc>
          <w:tcPr>
            <w:tcW w:w="941" w:type="dxa"/>
            <w:shd w:val="clear" w:color="auto" w:fill="FFFFFF"/>
            <w:noWrap/>
            <w:vAlign w:val="center"/>
            <w:hideMark/>
          </w:tcPr>
          <w:p w14:paraId="1C2A9985" w14:textId="77777777" w:rsidR="0004654D" w:rsidRPr="0009669D" w:rsidRDefault="0004654D" w:rsidP="000A696F">
            <w:pPr>
              <w:keepNext/>
              <w:spacing w:after="0"/>
              <w:ind w:firstLine="0"/>
              <w:jc w:val="right"/>
              <w:rPr>
                <w:rFonts w:eastAsia="Calibri" w:cs="Times New Roman"/>
                <w:sz w:val="20"/>
                <w:szCs w:val="20"/>
                <w:lang w:val="en-GB"/>
              </w:rPr>
            </w:pPr>
            <w:r w:rsidRPr="0009669D">
              <w:rPr>
                <w:rFonts w:eastAsia="Calibri" w:cs="Times New Roman"/>
                <w:sz w:val="20"/>
                <w:szCs w:val="20"/>
                <w:lang w:val="en-GB"/>
              </w:rPr>
              <w:t>2.923</w:t>
            </w:r>
          </w:p>
        </w:tc>
      </w:tr>
      <w:tr w:rsidR="0004654D" w:rsidRPr="0009669D" w14:paraId="379B514F" w14:textId="77777777" w:rsidTr="0004654D">
        <w:trPr>
          <w:trHeight w:val="300"/>
          <w:jc w:val="center"/>
        </w:trPr>
        <w:tc>
          <w:tcPr>
            <w:tcW w:w="4480" w:type="dxa"/>
            <w:shd w:val="clear" w:color="auto" w:fill="FFFFFF"/>
            <w:noWrap/>
            <w:vAlign w:val="center"/>
            <w:hideMark/>
          </w:tcPr>
          <w:p w14:paraId="05167E23" w14:textId="11379AD8" w:rsidR="0004654D" w:rsidRPr="0009669D" w:rsidRDefault="009F0715" w:rsidP="000A696F">
            <w:pPr>
              <w:keepNext/>
              <w:spacing w:after="0"/>
              <w:ind w:firstLine="0"/>
              <w:jc w:val="left"/>
              <w:rPr>
                <w:rFonts w:eastAsia="Calibri" w:cs="Times New Roman"/>
                <w:sz w:val="20"/>
                <w:szCs w:val="20"/>
                <w:lang w:val="en-GB"/>
              </w:rPr>
            </w:pPr>
            <w:r w:rsidRPr="0009669D">
              <w:rPr>
                <w:rFonts w:eastAsia="Calibri" w:cs="Times New Roman"/>
                <w:sz w:val="20"/>
                <w:szCs w:val="20"/>
                <w:lang w:val="en-GB"/>
              </w:rPr>
              <w:t>Companies discarded due to lack of data</w:t>
            </w:r>
          </w:p>
        </w:tc>
        <w:tc>
          <w:tcPr>
            <w:tcW w:w="941" w:type="dxa"/>
            <w:shd w:val="clear" w:color="auto" w:fill="FFFFFF"/>
            <w:noWrap/>
            <w:vAlign w:val="center"/>
            <w:hideMark/>
          </w:tcPr>
          <w:p w14:paraId="4AF1C18E" w14:textId="77777777" w:rsidR="0004654D" w:rsidRPr="0009669D" w:rsidRDefault="0004654D" w:rsidP="000A696F">
            <w:pPr>
              <w:keepNext/>
              <w:spacing w:after="0"/>
              <w:ind w:firstLine="0"/>
              <w:jc w:val="right"/>
              <w:rPr>
                <w:rFonts w:eastAsia="Calibri" w:cs="Times New Roman"/>
                <w:sz w:val="20"/>
                <w:szCs w:val="20"/>
                <w:lang w:val="en-GB"/>
              </w:rPr>
            </w:pPr>
            <w:r w:rsidRPr="0009669D">
              <w:rPr>
                <w:rFonts w:eastAsia="Calibri" w:cs="Times New Roman"/>
                <w:sz w:val="20"/>
                <w:szCs w:val="20"/>
                <w:lang w:val="en-GB"/>
              </w:rPr>
              <w:t>8</w:t>
            </w:r>
          </w:p>
        </w:tc>
      </w:tr>
      <w:tr w:rsidR="0004654D" w:rsidRPr="0009669D" w14:paraId="03F08ED5" w14:textId="77777777" w:rsidTr="0004654D">
        <w:trPr>
          <w:trHeight w:val="300"/>
          <w:jc w:val="center"/>
        </w:trPr>
        <w:tc>
          <w:tcPr>
            <w:tcW w:w="4480" w:type="dxa"/>
            <w:tcBorders>
              <w:top w:val="single" w:sz="4" w:space="0" w:color="auto"/>
              <w:left w:val="nil"/>
              <w:bottom w:val="single" w:sz="4" w:space="0" w:color="auto"/>
              <w:right w:val="nil"/>
            </w:tcBorders>
            <w:shd w:val="clear" w:color="auto" w:fill="FFFFFF"/>
            <w:noWrap/>
            <w:vAlign w:val="center"/>
            <w:hideMark/>
          </w:tcPr>
          <w:p w14:paraId="5C8B0CAE" w14:textId="1BAAC7DF" w:rsidR="0004654D" w:rsidRPr="0009669D" w:rsidRDefault="009F0715" w:rsidP="000A696F">
            <w:pPr>
              <w:keepNext/>
              <w:spacing w:after="0"/>
              <w:ind w:firstLine="0"/>
              <w:jc w:val="left"/>
              <w:rPr>
                <w:rFonts w:eastAsia="Calibri" w:cs="Times New Roman"/>
                <w:sz w:val="20"/>
                <w:szCs w:val="20"/>
                <w:lang w:val="en-GB"/>
              </w:rPr>
            </w:pPr>
            <w:r w:rsidRPr="0009669D">
              <w:rPr>
                <w:rFonts w:eastAsia="Calibri" w:cs="Times New Roman"/>
                <w:sz w:val="20"/>
                <w:szCs w:val="20"/>
                <w:lang w:val="en-GB"/>
              </w:rPr>
              <w:t>Final sample</w:t>
            </w:r>
          </w:p>
        </w:tc>
        <w:tc>
          <w:tcPr>
            <w:tcW w:w="941" w:type="dxa"/>
            <w:tcBorders>
              <w:top w:val="single" w:sz="4" w:space="0" w:color="auto"/>
              <w:left w:val="nil"/>
              <w:bottom w:val="single" w:sz="4" w:space="0" w:color="auto"/>
              <w:right w:val="nil"/>
            </w:tcBorders>
            <w:shd w:val="clear" w:color="auto" w:fill="FFFFFF"/>
            <w:noWrap/>
            <w:vAlign w:val="center"/>
            <w:hideMark/>
          </w:tcPr>
          <w:p w14:paraId="5D7245E7" w14:textId="77777777" w:rsidR="0004654D" w:rsidRPr="0009669D" w:rsidRDefault="0004654D" w:rsidP="000A696F">
            <w:pPr>
              <w:keepNext/>
              <w:spacing w:after="0"/>
              <w:ind w:firstLine="0"/>
              <w:jc w:val="right"/>
              <w:rPr>
                <w:rFonts w:eastAsia="Calibri" w:cs="Times New Roman"/>
                <w:sz w:val="20"/>
                <w:szCs w:val="20"/>
                <w:lang w:val="en-GB"/>
              </w:rPr>
            </w:pPr>
            <w:r w:rsidRPr="0009669D">
              <w:rPr>
                <w:rFonts w:eastAsia="Calibri" w:cs="Times New Roman"/>
                <w:sz w:val="20"/>
                <w:szCs w:val="20"/>
                <w:lang w:val="en-GB"/>
              </w:rPr>
              <w:t>2.915</w:t>
            </w:r>
          </w:p>
        </w:tc>
      </w:tr>
    </w:tbl>
    <w:p w14:paraId="0BDB436C" w14:textId="77777777" w:rsidR="001F0647" w:rsidRPr="0009669D" w:rsidRDefault="001F0647" w:rsidP="001F0647">
      <w:pPr>
        <w:pStyle w:val="Ttulotablasygrficos"/>
        <w:spacing w:line="276" w:lineRule="auto"/>
        <w:ind w:firstLine="0"/>
        <w:rPr>
          <w:b w:val="0"/>
          <w:lang w:val="en-GB"/>
        </w:rPr>
      </w:pPr>
      <w:r w:rsidRPr="0009669D">
        <w:rPr>
          <w:b w:val="0"/>
          <w:lang w:val="en-GB"/>
        </w:rPr>
        <w:t>Source: own elaboration</w:t>
      </w:r>
    </w:p>
    <w:p w14:paraId="334A4CE2" w14:textId="2DCB87AF" w:rsidR="00277E6E" w:rsidRPr="0009669D" w:rsidRDefault="001554B8" w:rsidP="001554B8">
      <w:pPr>
        <w:pStyle w:val="Prrafodelista"/>
        <w:numPr>
          <w:ilvl w:val="1"/>
          <w:numId w:val="19"/>
        </w:numPr>
        <w:spacing w:after="0"/>
        <w:rPr>
          <w:b/>
          <w:lang w:val="en-GB"/>
        </w:rPr>
      </w:pPr>
      <w:r w:rsidRPr="0009669D">
        <w:rPr>
          <w:b/>
          <w:lang w:val="en-GB"/>
        </w:rPr>
        <w:t>Definition and measurement of the variables</w:t>
      </w:r>
    </w:p>
    <w:p w14:paraId="28A06EE8" w14:textId="77777777" w:rsidR="001554B8" w:rsidRPr="0009669D" w:rsidRDefault="001554B8" w:rsidP="001554B8">
      <w:pPr>
        <w:spacing w:after="0"/>
        <w:rPr>
          <w:b/>
          <w:lang w:val="en-GB"/>
        </w:rPr>
      </w:pPr>
    </w:p>
    <w:p w14:paraId="1EB06BDD" w14:textId="0005381D" w:rsidR="001554B8" w:rsidRPr="0009669D" w:rsidRDefault="001554B8" w:rsidP="0070319D">
      <w:pPr>
        <w:ind w:firstLine="0"/>
        <w:rPr>
          <w:lang w:val="en-GB"/>
        </w:rPr>
      </w:pPr>
      <w:r w:rsidRPr="0009669D">
        <w:rPr>
          <w:lang w:val="en-GB"/>
        </w:rPr>
        <w:t>To make the empirical test a combination of five variables related to business characteristics and financial performance is used, in particular the following were used: size, sales, number of employees, age and capital (</w:t>
      </w:r>
      <w:proofErr w:type="spellStart"/>
      <w:r w:rsidRPr="0009669D">
        <w:rPr>
          <w:lang w:val="en-GB"/>
        </w:rPr>
        <w:t>Segarra</w:t>
      </w:r>
      <w:proofErr w:type="spellEnd"/>
      <w:r w:rsidRPr="0009669D">
        <w:rPr>
          <w:lang w:val="en-GB"/>
        </w:rPr>
        <w:t xml:space="preserve"> &amp; </w:t>
      </w:r>
      <w:proofErr w:type="spellStart"/>
      <w:r w:rsidRPr="0009669D">
        <w:rPr>
          <w:lang w:val="en-GB"/>
        </w:rPr>
        <w:t>Teruel</w:t>
      </w:r>
      <w:proofErr w:type="spellEnd"/>
      <w:r w:rsidRPr="0009669D">
        <w:rPr>
          <w:lang w:val="en-GB"/>
        </w:rPr>
        <w:t xml:space="preserve">, 2014; Simbaña et al., 2017; </w:t>
      </w:r>
      <w:proofErr w:type="spellStart"/>
      <w:r w:rsidRPr="0009669D">
        <w:rPr>
          <w:lang w:val="en-GB"/>
        </w:rPr>
        <w:t>Miralles</w:t>
      </w:r>
      <w:proofErr w:type="spellEnd"/>
      <w:r w:rsidRPr="0009669D">
        <w:rPr>
          <w:lang w:val="en-GB"/>
        </w:rPr>
        <w:t xml:space="preserve"> et al., 2017).</w:t>
      </w:r>
    </w:p>
    <w:p w14:paraId="050A3AEE" w14:textId="77777777" w:rsidR="008D3FE1" w:rsidRPr="0009669D" w:rsidRDefault="001554B8" w:rsidP="0070319D">
      <w:pPr>
        <w:ind w:firstLine="0"/>
        <w:rPr>
          <w:lang w:val="en-GB"/>
        </w:rPr>
      </w:pPr>
      <w:r w:rsidRPr="0009669D">
        <w:rPr>
          <w:lang w:val="en-GB"/>
        </w:rPr>
        <w:t xml:space="preserve">Sales and the number of employees are the variables used to determine the size of the company in line with the studies of </w:t>
      </w:r>
      <w:proofErr w:type="spellStart"/>
      <w:r w:rsidRPr="0009669D">
        <w:rPr>
          <w:lang w:val="en-GB"/>
        </w:rPr>
        <w:t>Segarra</w:t>
      </w:r>
      <w:proofErr w:type="spellEnd"/>
      <w:r w:rsidRPr="0009669D">
        <w:rPr>
          <w:lang w:val="en-GB"/>
        </w:rPr>
        <w:t xml:space="preserve"> &amp; </w:t>
      </w:r>
      <w:proofErr w:type="spellStart"/>
      <w:r w:rsidRPr="0009669D">
        <w:rPr>
          <w:lang w:val="en-GB"/>
        </w:rPr>
        <w:t>Teruel</w:t>
      </w:r>
      <w:proofErr w:type="spellEnd"/>
      <w:r w:rsidRPr="0009669D">
        <w:rPr>
          <w:lang w:val="en-GB"/>
        </w:rPr>
        <w:t xml:space="preserve"> (2014) and Simbaña et al. (2017).</w:t>
      </w:r>
    </w:p>
    <w:p w14:paraId="7CC3D00F" w14:textId="11C5F05C" w:rsidR="008D3FE1" w:rsidRPr="0009669D" w:rsidRDefault="008B5E4A" w:rsidP="0070319D">
      <w:pPr>
        <w:ind w:firstLine="0"/>
        <w:rPr>
          <w:lang w:val="en-GB"/>
        </w:rPr>
      </w:pPr>
      <w:r w:rsidRPr="0009669D">
        <w:rPr>
          <w:lang w:val="en-GB"/>
        </w:rPr>
        <w:t xml:space="preserve">In terms of sales (s) and capital (k), they are expressed in US dollars and correspond to the information in the financial statements (Coad &amp; </w:t>
      </w:r>
      <w:proofErr w:type="spellStart"/>
      <w:r w:rsidRPr="0009669D">
        <w:rPr>
          <w:lang w:val="en-GB"/>
        </w:rPr>
        <w:t>Rao</w:t>
      </w:r>
      <w:proofErr w:type="spellEnd"/>
      <w:r w:rsidRPr="0009669D">
        <w:rPr>
          <w:lang w:val="en-GB"/>
        </w:rPr>
        <w:t xml:space="preserve">, 2008; </w:t>
      </w:r>
      <w:proofErr w:type="spellStart"/>
      <w:r w:rsidRPr="0009669D">
        <w:rPr>
          <w:lang w:val="en-GB"/>
        </w:rPr>
        <w:t>Segarra</w:t>
      </w:r>
      <w:proofErr w:type="spellEnd"/>
      <w:r w:rsidRPr="0009669D">
        <w:rPr>
          <w:lang w:val="en-GB"/>
        </w:rPr>
        <w:t xml:space="preserve"> &amp; </w:t>
      </w:r>
      <w:proofErr w:type="spellStart"/>
      <w:r w:rsidRPr="0009669D">
        <w:rPr>
          <w:lang w:val="en-GB"/>
        </w:rPr>
        <w:t>Teruel</w:t>
      </w:r>
      <w:proofErr w:type="spellEnd"/>
      <w:r w:rsidRPr="0009669D">
        <w:rPr>
          <w:lang w:val="en-GB"/>
        </w:rPr>
        <w:t>, 2014). On the other hand, the number of employees (</w:t>
      </w:r>
      <w:proofErr w:type="spellStart"/>
      <w:r w:rsidRPr="0009669D">
        <w:rPr>
          <w:lang w:val="en-GB"/>
        </w:rPr>
        <w:t>emp</w:t>
      </w:r>
      <w:proofErr w:type="spellEnd"/>
      <w:r w:rsidRPr="0009669D">
        <w:rPr>
          <w:lang w:val="en-GB"/>
        </w:rPr>
        <w:t>) is expressed in units according to the number of full-time employees of the company.</w:t>
      </w:r>
      <w:r w:rsidR="0009669D" w:rsidRPr="0009669D">
        <w:rPr>
          <w:lang w:val="en-GB"/>
        </w:rPr>
        <w:t xml:space="preserve"> </w:t>
      </w:r>
      <w:r w:rsidRPr="0009669D">
        <w:rPr>
          <w:lang w:val="en-GB"/>
        </w:rPr>
        <w:t xml:space="preserve">The growth rate of these variables </w:t>
      </w:r>
      <m:oMath>
        <m:sSub>
          <m:sSubPr>
            <m:ctrlPr>
              <w:rPr>
                <w:rFonts w:ascii="Cambria Math" w:eastAsia="Calibri" w:hAnsi="Cambria Math" w:cs="Times New Roman"/>
                <w:i/>
                <w:lang w:val="en-GB"/>
              </w:rPr>
            </m:ctrlPr>
          </m:sSubPr>
          <m:e>
            <m:r>
              <w:rPr>
                <w:rFonts w:ascii="Cambria Math" w:eastAsia="Calibri" w:hAnsi="Cambria Math" w:cs="Times New Roman"/>
                <w:lang w:val="en-GB"/>
              </w:rPr>
              <m:t>(G</m:t>
            </m:r>
          </m:e>
          <m:sub>
            <m:r>
              <w:rPr>
                <w:rFonts w:ascii="Cambria Math" w:eastAsia="Calibri" w:hAnsi="Cambria Math" w:cs="Times New Roman"/>
                <w:lang w:val="en-GB"/>
              </w:rPr>
              <m:t>S</m:t>
            </m:r>
          </m:sub>
        </m:sSub>
        <m:r>
          <w:rPr>
            <w:rFonts w:ascii="Cambria Math" w:eastAsia="Calibri" w:hAnsi="Cambria Math" w:cs="Times New Roman"/>
            <w:lang w:val="en-GB"/>
          </w:rPr>
          <m:t xml:space="preserve">, </m:t>
        </m:r>
        <m:sSub>
          <m:sSubPr>
            <m:ctrlPr>
              <w:rPr>
                <w:rFonts w:ascii="Cambria Math" w:eastAsia="Calibri" w:hAnsi="Cambria Math" w:cs="Times New Roman"/>
                <w:i/>
                <w:lang w:val="en-GB"/>
              </w:rPr>
            </m:ctrlPr>
          </m:sSubPr>
          <m:e>
            <m:r>
              <w:rPr>
                <w:rFonts w:ascii="Cambria Math" w:eastAsia="Calibri" w:hAnsi="Cambria Math" w:cs="Times New Roman"/>
                <w:lang w:val="en-GB"/>
              </w:rPr>
              <m:t>G</m:t>
            </m:r>
          </m:e>
          <m:sub>
            <m:r>
              <w:rPr>
                <w:rFonts w:ascii="Cambria Math" w:eastAsia="Calibri" w:hAnsi="Cambria Math" w:cs="Times New Roman"/>
                <w:lang w:val="en-GB"/>
              </w:rPr>
              <m:t>k</m:t>
            </m:r>
          </m:sub>
        </m:sSub>
        <m:r>
          <w:rPr>
            <w:rFonts w:ascii="Cambria Math" w:eastAsia="Calibri" w:hAnsi="Cambria Math" w:cs="Times New Roman"/>
            <w:lang w:val="en-GB"/>
          </w:rPr>
          <m:t xml:space="preserve"> y </m:t>
        </m:r>
        <m:sSub>
          <m:sSubPr>
            <m:ctrlPr>
              <w:rPr>
                <w:rFonts w:ascii="Cambria Math" w:eastAsia="Calibri" w:hAnsi="Cambria Math" w:cs="Times New Roman"/>
                <w:i/>
                <w:lang w:val="en-GB"/>
              </w:rPr>
            </m:ctrlPr>
          </m:sSubPr>
          <m:e>
            <m:r>
              <w:rPr>
                <w:rFonts w:ascii="Cambria Math" w:eastAsia="Calibri" w:hAnsi="Cambria Math" w:cs="Times New Roman"/>
                <w:lang w:val="en-GB"/>
              </w:rPr>
              <m:t>G</m:t>
            </m:r>
          </m:e>
          <m:sub>
            <m:r>
              <w:rPr>
                <w:rFonts w:ascii="Cambria Math" w:eastAsia="Calibri" w:hAnsi="Cambria Math" w:cs="Times New Roman"/>
                <w:lang w:val="en-GB"/>
              </w:rPr>
              <m:t>emp</m:t>
            </m:r>
          </m:sub>
        </m:sSub>
        <m:r>
          <w:rPr>
            <w:rFonts w:ascii="Cambria Math" w:eastAsia="Calibri" w:hAnsi="Cambria Math" w:cs="Times New Roman"/>
            <w:lang w:val="en-GB"/>
          </w:rPr>
          <m:t>),</m:t>
        </m:r>
      </m:oMath>
      <w:r w:rsidR="00EA2491" w:rsidRPr="0009669D">
        <w:rPr>
          <w:rFonts w:eastAsia="Calibri" w:cs="Times New Roman"/>
          <w:lang w:val="en-GB"/>
        </w:rPr>
        <w:t xml:space="preserve"> </w:t>
      </w:r>
      <w:r w:rsidRPr="0009669D">
        <w:rPr>
          <w:lang w:val="en-GB"/>
        </w:rPr>
        <w:t>is calculated through the logarithmic difference of the</w:t>
      </w:r>
      <w:r w:rsidR="008D3FE1" w:rsidRPr="0009669D">
        <w:rPr>
          <w:lang w:val="en-GB"/>
        </w:rPr>
        <w:t>se variables (Coad et al., 2016;</w:t>
      </w:r>
      <w:r w:rsidRPr="0009669D">
        <w:rPr>
          <w:lang w:val="en-GB"/>
        </w:rPr>
        <w:t xml:space="preserve"> Simbaña et al., 2017).</w:t>
      </w:r>
    </w:p>
    <w:p w14:paraId="3320BC40" w14:textId="77777777" w:rsidR="008D3FE1" w:rsidRPr="0009669D" w:rsidRDefault="008B5E4A" w:rsidP="0070319D">
      <w:pPr>
        <w:ind w:firstLine="0"/>
        <w:rPr>
          <w:lang w:val="en-GB"/>
        </w:rPr>
      </w:pPr>
      <w:r w:rsidRPr="0009669D">
        <w:rPr>
          <w:lang w:val="en-GB"/>
        </w:rPr>
        <w:t>The age (age) corresponds to that of the company expressed in years from the date of incorporation of the company until the date on which the analysis was carried out (</w:t>
      </w:r>
      <w:proofErr w:type="spellStart"/>
      <w:r w:rsidRPr="0009669D">
        <w:rPr>
          <w:lang w:val="en-GB"/>
        </w:rPr>
        <w:t>Serrasqueiro</w:t>
      </w:r>
      <w:proofErr w:type="spellEnd"/>
      <w:r w:rsidRPr="0009669D">
        <w:rPr>
          <w:lang w:val="en-GB"/>
        </w:rPr>
        <w:t xml:space="preserve"> et al., 2010; Coad et al., 2016).</w:t>
      </w:r>
      <w:r w:rsidR="009070A7" w:rsidRPr="0009669D">
        <w:rPr>
          <w:lang w:val="en-GB"/>
        </w:rPr>
        <w:t xml:space="preserve"> </w:t>
      </w:r>
      <w:r w:rsidRPr="0009669D">
        <w:rPr>
          <w:lang w:val="en-GB"/>
        </w:rPr>
        <w:t>To represent the size of the company (size) considering the classification made by the Superintendence of Companies, a dummy variable is used, where number 1 identifies small companies and 2 identifies medium companies (</w:t>
      </w:r>
      <w:proofErr w:type="spellStart"/>
      <w:r w:rsidRPr="0009669D">
        <w:rPr>
          <w:lang w:val="en-GB"/>
        </w:rPr>
        <w:t>Levratto</w:t>
      </w:r>
      <w:proofErr w:type="spellEnd"/>
      <w:r w:rsidRPr="0009669D">
        <w:rPr>
          <w:lang w:val="en-GB"/>
        </w:rPr>
        <w:t xml:space="preserve"> et al., 2010; </w:t>
      </w:r>
      <w:proofErr w:type="spellStart"/>
      <w:r w:rsidRPr="0009669D">
        <w:rPr>
          <w:lang w:val="en-GB"/>
        </w:rPr>
        <w:t>Heshmati</w:t>
      </w:r>
      <w:proofErr w:type="spellEnd"/>
      <w:r w:rsidRPr="0009669D">
        <w:rPr>
          <w:lang w:val="en-GB"/>
        </w:rPr>
        <w:t>, 2001).</w:t>
      </w:r>
    </w:p>
    <w:p w14:paraId="5F98F3EB" w14:textId="09E2BD64" w:rsidR="00277E6E" w:rsidRPr="0009669D" w:rsidRDefault="008B5E4A" w:rsidP="0070319D">
      <w:pPr>
        <w:ind w:firstLine="0"/>
        <w:rPr>
          <w:lang w:val="en-GB"/>
        </w:rPr>
      </w:pPr>
      <w:r w:rsidRPr="0009669D">
        <w:rPr>
          <w:lang w:val="en-GB"/>
        </w:rPr>
        <w:t>Table 3 describes the variables used in the present study.</w:t>
      </w:r>
    </w:p>
    <w:p w14:paraId="348FB6F7" w14:textId="77777777" w:rsidR="008D3FE1" w:rsidRPr="0009669D" w:rsidRDefault="008D3FE1" w:rsidP="008D3FE1">
      <w:pPr>
        <w:pStyle w:val="Ttulotablasygrficos"/>
        <w:keepNext/>
        <w:spacing w:line="276" w:lineRule="auto"/>
        <w:ind w:firstLine="0"/>
        <w:rPr>
          <w:lang w:val="en-GB"/>
        </w:rPr>
      </w:pPr>
      <w:bookmarkStart w:id="2" w:name="_Ref509220318"/>
      <w:r w:rsidRPr="0009669D">
        <w:rPr>
          <w:lang w:val="en-GB"/>
        </w:rPr>
        <w:t xml:space="preserve">Table </w:t>
      </w:r>
      <w:r w:rsidRPr="0009669D">
        <w:rPr>
          <w:noProof/>
          <w:lang w:val="en-GB"/>
        </w:rPr>
        <w:t>3</w:t>
      </w:r>
      <w:bookmarkEnd w:id="2"/>
      <w:r w:rsidRPr="0009669D">
        <w:rPr>
          <w:lang w:val="en-GB"/>
        </w:rPr>
        <w:t>. Description of variables</w:t>
      </w:r>
    </w:p>
    <w:tbl>
      <w:tblPr>
        <w:tblW w:w="7513" w:type="dxa"/>
        <w:jc w:val="center"/>
        <w:tblCellMar>
          <w:left w:w="70" w:type="dxa"/>
          <w:right w:w="70" w:type="dxa"/>
        </w:tblCellMar>
        <w:tblLook w:val="04A0" w:firstRow="1" w:lastRow="0" w:firstColumn="1" w:lastColumn="0" w:noHBand="0" w:noVBand="1"/>
      </w:tblPr>
      <w:tblGrid>
        <w:gridCol w:w="1354"/>
        <w:gridCol w:w="780"/>
        <w:gridCol w:w="1825"/>
        <w:gridCol w:w="3554"/>
      </w:tblGrid>
      <w:tr w:rsidR="008D3FE1" w:rsidRPr="0009669D" w14:paraId="453CBBEB" w14:textId="77777777" w:rsidTr="00C200CC">
        <w:trPr>
          <w:trHeight w:val="255"/>
          <w:jc w:val="center"/>
        </w:trPr>
        <w:tc>
          <w:tcPr>
            <w:tcW w:w="1354" w:type="dxa"/>
            <w:tcBorders>
              <w:top w:val="single" w:sz="4" w:space="0" w:color="auto"/>
              <w:left w:val="nil"/>
              <w:bottom w:val="single" w:sz="4" w:space="0" w:color="auto"/>
              <w:right w:val="nil"/>
            </w:tcBorders>
            <w:shd w:val="clear" w:color="000000" w:fill="FFFFFF"/>
            <w:hideMark/>
          </w:tcPr>
          <w:p w14:paraId="086AF820" w14:textId="77777777" w:rsidR="008D3FE1" w:rsidRPr="0009669D" w:rsidRDefault="008D3FE1" w:rsidP="00C200CC">
            <w:pPr>
              <w:keepNext/>
              <w:spacing w:after="0" w:line="276" w:lineRule="auto"/>
              <w:ind w:firstLine="0"/>
              <w:jc w:val="left"/>
              <w:rPr>
                <w:rFonts w:eastAsia="Times New Roman" w:cs="Times New Roman"/>
                <w:b/>
                <w:bCs/>
                <w:color w:val="000000"/>
                <w:sz w:val="20"/>
                <w:szCs w:val="20"/>
                <w:lang w:val="en-GB" w:eastAsia="es-EC"/>
              </w:rPr>
            </w:pPr>
            <w:r w:rsidRPr="0009669D">
              <w:rPr>
                <w:rFonts w:eastAsia="Times New Roman" w:cs="Times New Roman"/>
                <w:b/>
                <w:bCs/>
                <w:color w:val="000000"/>
                <w:sz w:val="20"/>
                <w:szCs w:val="20"/>
                <w:lang w:val="en-GB" w:eastAsia="es-EC"/>
              </w:rPr>
              <w:t>Group</w:t>
            </w:r>
          </w:p>
        </w:tc>
        <w:tc>
          <w:tcPr>
            <w:tcW w:w="780" w:type="dxa"/>
            <w:tcBorders>
              <w:top w:val="single" w:sz="4" w:space="0" w:color="auto"/>
              <w:left w:val="nil"/>
              <w:bottom w:val="single" w:sz="4" w:space="0" w:color="auto"/>
              <w:right w:val="nil"/>
            </w:tcBorders>
            <w:shd w:val="clear" w:color="000000" w:fill="FFFFFF"/>
            <w:hideMark/>
          </w:tcPr>
          <w:p w14:paraId="0ABDA7AA" w14:textId="77777777" w:rsidR="008D3FE1" w:rsidRPr="0009669D" w:rsidRDefault="008D3FE1" w:rsidP="00C200CC">
            <w:pPr>
              <w:keepNext/>
              <w:spacing w:after="0" w:line="276" w:lineRule="auto"/>
              <w:ind w:firstLine="0"/>
              <w:jc w:val="left"/>
              <w:rPr>
                <w:rFonts w:eastAsia="Times New Roman" w:cs="Times New Roman"/>
                <w:b/>
                <w:bCs/>
                <w:color w:val="000000"/>
                <w:sz w:val="20"/>
                <w:szCs w:val="20"/>
                <w:lang w:val="en-GB" w:eastAsia="es-EC"/>
              </w:rPr>
            </w:pPr>
            <w:r w:rsidRPr="0009669D">
              <w:rPr>
                <w:rFonts w:eastAsia="Times New Roman" w:cs="Times New Roman"/>
                <w:b/>
                <w:bCs/>
                <w:color w:val="000000"/>
                <w:sz w:val="20"/>
                <w:szCs w:val="20"/>
                <w:lang w:val="en-GB" w:eastAsia="es-EC"/>
              </w:rPr>
              <w:t>Factor</w:t>
            </w:r>
          </w:p>
        </w:tc>
        <w:tc>
          <w:tcPr>
            <w:tcW w:w="1825" w:type="dxa"/>
            <w:tcBorders>
              <w:top w:val="single" w:sz="4" w:space="0" w:color="auto"/>
              <w:left w:val="nil"/>
              <w:bottom w:val="single" w:sz="4" w:space="0" w:color="auto"/>
              <w:right w:val="nil"/>
            </w:tcBorders>
            <w:shd w:val="clear" w:color="000000" w:fill="FFFFFF"/>
            <w:hideMark/>
          </w:tcPr>
          <w:p w14:paraId="28D5D58A" w14:textId="77777777" w:rsidR="008D3FE1" w:rsidRPr="0009669D" w:rsidRDefault="008D3FE1" w:rsidP="00C200CC">
            <w:pPr>
              <w:keepNext/>
              <w:spacing w:after="0" w:line="276" w:lineRule="auto"/>
              <w:ind w:firstLine="0"/>
              <w:jc w:val="left"/>
              <w:rPr>
                <w:rFonts w:eastAsia="Times New Roman" w:cs="Times New Roman"/>
                <w:b/>
                <w:bCs/>
                <w:color w:val="000000"/>
                <w:sz w:val="20"/>
                <w:szCs w:val="20"/>
                <w:lang w:val="en-GB" w:eastAsia="es-EC"/>
              </w:rPr>
            </w:pPr>
            <w:r w:rsidRPr="0009669D">
              <w:rPr>
                <w:rFonts w:eastAsia="Times New Roman" w:cs="Times New Roman"/>
                <w:b/>
                <w:bCs/>
                <w:color w:val="000000"/>
                <w:sz w:val="20"/>
                <w:szCs w:val="20"/>
                <w:lang w:val="en-GB" w:eastAsia="es-EC"/>
              </w:rPr>
              <w:t>Description</w:t>
            </w:r>
          </w:p>
        </w:tc>
        <w:tc>
          <w:tcPr>
            <w:tcW w:w="3554" w:type="dxa"/>
            <w:tcBorders>
              <w:top w:val="single" w:sz="4" w:space="0" w:color="auto"/>
              <w:left w:val="nil"/>
              <w:bottom w:val="single" w:sz="4" w:space="0" w:color="auto"/>
              <w:right w:val="nil"/>
            </w:tcBorders>
            <w:shd w:val="clear" w:color="000000" w:fill="FFFFFF"/>
            <w:hideMark/>
          </w:tcPr>
          <w:p w14:paraId="2E6DCC20" w14:textId="77777777" w:rsidR="008D3FE1" w:rsidRPr="0009669D" w:rsidRDefault="008D3FE1" w:rsidP="00C200CC">
            <w:pPr>
              <w:keepNext/>
              <w:spacing w:after="0" w:line="276" w:lineRule="auto"/>
              <w:ind w:firstLine="0"/>
              <w:jc w:val="left"/>
              <w:rPr>
                <w:rFonts w:eastAsia="Times New Roman" w:cs="Times New Roman"/>
                <w:b/>
                <w:bCs/>
                <w:color w:val="000000"/>
                <w:sz w:val="20"/>
                <w:szCs w:val="20"/>
                <w:lang w:val="en-GB" w:eastAsia="es-EC"/>
              </w:rPr>
            </w:pPr>
            <w:r w:rsidRPr="0009669D">
              <w:rPr>
                <w:rFonts w:eastAsia="Times New Roman" w:cs="Times New Roman"/>
                <w:b/>
                <w:bCs/>
                <w:color w:val="000000"/>
                <w:sz w:val="20"/>
                <w:szCs w:val="20"/>
                <w:lang w:val="en-GB" w:eastAsia="es-EC"/>
              </w:rPr>
              <w:t>Measurement</w:t>
            </w:r>
          </w:p>
        </w:tc>
      </w:tr>
      <w:tr w:rsidR="008D3FE1" w:rsidRPr="0009669D" w14:paraId="5D011D18" w14:textId="77777777" w:rsidTr="00C200CC">
        <w:trPr>
          <w:trHeight w:val="255"/>
          <w:jc w:val="center"/>
        </w:trPr>
        <w:tc>
          <w:tcPr>
            <w:tcW w:w="1354" w:type="dxa"/>
            <w:tcBorders>
              <w:top w:val="nil"/>
              <w:left w:val="nil"/>
              <w:bottom w:val="nil"/>
              <w:right w:val="nil"/>
            </w:tcBorders>
            <w:shd w:val="clear" w:color="000000" w:fill="FFFFFF"/>
            <w:hideMark/>
          </w:tcPr>
          <w:p w14:paraId="46020D79"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Dependent</w:t>
            </w:r>
          </w:p>
        </w:tc>
        <w:tc>
          <w:tcPr>
            <w:tcW w:w="780" w:type="dxa"/>
            <w:tcBorders>
              <w:top w:val="nil"/>
              <w:left w:val="nil"/>
              <w:bottom w:val="nil"/>
              <w:right w:val="nil"/>
            </w:tcBorders>
            <w:shd w:val="clear" w:color="000000" w:fill="FFFFFF"/>
            <w:hideMark/>
          </w:tcPr>
          <w:p w14:paraId="57CBB266" w14:textId="77777777" w:rsidR="008D3FE1" w:rsidRPr="0009669D" w:rsidRDefault="002D5BE5" w:rsidP="00C200CC">
            <w:pPr>
              <w:keepNext/>
              <w:spacing w:after="0" w:line="276" w:lineRule="auto"/>
              <w:ind w:firstLine="0"/>
              <w:jc w:val="left"/>
              <w:rPr>
                <w:rFonts w:eastAsia="Times New Roman" w:cs="Times New Roman"/>
                <w:color w:val="000000"/>
                <w:sz w:val="20"/>
                <w:szCs w:val="20"/>
                <w:lang w:val="en-GB" w:eastAsia="es-EC"/>
              </w:rPr>
            </w:pPr>
            <m:oMathPara>
              <m:oMathParaPr>
                <m:jc m:val="left"/>
              </m:oMathParaPr>
              <m:oMath>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G</m:t>
                    </m:r>
                  </m:e>
                  <m:sub>
                    <m:r>
                      <w:rPr>
                        <w:rFonts w:ascii="Cambria Math" w:eastAsia="Times New Roman" w:hAnsi="Cambria Math" w:cs="Times New Roman"/>
                        <w:color w:val="000000"/>
                        <w:sz w:val="20"/>
                        <w:szCs w:val="20"/>
                        <w:lang w:val="en-GB" w:eastAsia="es-EC"/>
                      </w:rPr>
                      <m:t>s</m:t>
                    </m:r>
                  </m:sub>
                </m:sSub>
              </m:oMath>
            </m:oMathPara>
          </w:p>
        </w:tc>
        <w:tc>
          <w:tcPr>
            <w:tcW w:w="1825" w:type="dxa"/>
            <w:tcBorders>
              <w:top w:val="nil"/>
              <w:left w:val="nil"/>
              <w:bottom w:val="nil"/>
              <w:right w:val="nil"/>
            </w:tcBorders>
            <w:shd w:val="clear" w:color="000000" w:fill="FFFFFF"/>
            <w:hideMark/>
          </w:tcPr>
          <w:p w14:paraId="3C87CBEC"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Sales growth</w:t>
            </w:r>
          </w:p>
        </w:tc>
        <w:tc>
          <w:tcPr>
            <w:tcW w:w="3554" w:type="dxa"/>
            <w:tcBorders>
              <w:top w:val="nil"/>
              <w:left w:val="nil"/>
              <w:bottom w:val="nil"/>
              <w:right w:val="nil"/>
            </w:tcBorders>
            <w:shd w:val="clear" w:color="000000" w:fill="FFFFFF"/>
            <w:hideMark/>
          </w:tcPr>
          <w:p w14:paraId="40A6E08B"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m:oMath>
              <m:func>
                <m:funcPr>
                  <m:ctrlPr>
                    <w:rPr>
                      <w:rFonts w:ascii="Cambria Math" w:eastAsia="Times New Roman" w:hAnsi="Cambria Math" w:cs="Times New Roman"/>
                      <w:i/>
                      <w:color w:val="000000"/>
                      <w:sz w:val="20"/>
                      <w:szCs w:val="20"/>
                      <w:lang w:val="en-GB" w:eastAsia="es-EC"/>
                    </w:rPr>
                  </m:ctrlPr>
                </m:funcPr>
                <m:fName>
                  <m:r>
                    <m:rPr>
                      <m:sty m:val="p"/>
                    </m:rPr>
                    <w:rPr>
                      <w:rFonts w:ascii="Cambria Math" w:eastAsia="Times New Roman" w:hAnsi="Cambria Math" w:cs="Times New Roman"/>
                      <w:color w:val="000000"/>
                      <w:sz w:val="20"/>
                      <w:szCs w:val="20"/>
                      <w:lang w:val="en-GB"/>
                    </w:rPr>
                    <m:t>ln</m:t>
                  </m:r>
                </m:fName>
                <m:e>
                  <m:r>
                    <w:rPr>
                      <w:rFonts w:ascii="Cambria Math" w:eastAsia="Times New Roman" w:hAnsi="Cambria Math" w:cs="Times New Roman"/>
                      <w:color w:val="000000"/>
                      <w:sz w:val="20"/>
                      <w:szCs w:val="20"/>
                      <w:lang w:val="en-GB" w:eastAsia="es-EC"/>
                    </w:rPr>
                    <m:t>(</m:t>
                  </m:r>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sales</m:t>
                      </m:r>
                    </m:e>
                    <m:sub>
                      <m:r>
                        <w:rPr>
                          <w:rFonts w:ascii="Cambria Math" w:eastAsia="Times New Roman" w:hAnsi="Cambria Math" w:cs="Times New Roman"/>
                          <w:color w:val="000000"/>
                          <w:sz w:val="20"/>
                          <w:szCs w:val="20"/>
                          <w:lang w:val="en-GB" w:eastAsia="es-EC"/>
                        </w:rPr>
                        <m:t>i,t</m:t>
                      </m:r>
                    </m:sub>
                  </m:sSub>
                  <m:r>
                    <w:rPr>
                      <w:rFonts w:ascii="Cambria Math" w:eastAsia="Times New Roman" w:hAnsi="Cambria Math" w:cs="Times New Roman"/>
                      <w:color w:val="000000"/>
                      <w:sz w:val="20"/>
                      <w:szCs w:val="20"/>
                      <w:lang w:val="en-GB" w:eastAsia="es-EC"/>
                    </w:rPr>
                    <m:t>/</m:t>
                  </m:r>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sales</m:t>
                      </m:r>
                    </m:e>
                    <m:sub>
                      <m:r>
                        <w:rPr>
                          <w:rFonts w:ascii="Cambria Math" w:eastAsia="Times New Roman" w:hAnsi="Cambria Math" w:cs="Times New Roman"/>
                          <w:color w:val="000000"/>
                          <w:sz w:val="20"/>
                          <w:szCs w:val="20"/>
                          <w:lang w:val="en-GB" w:eastAsia="es-EC"/>
                        </w:rPr>
                        <m:t>i,t-1</m:t>
                      </m:r>
                    </m:sub>
                  </m:sSub>
                  <m:r>
                    <w:rPr>
                      <w:rFonts w:ascii="Cambria Math" w:eastAsia="Times New Roman" w:hAnsi="Cambria Math" w:cs="Times New Roman"/>
                      <w:color w:val="000000"/>
                      <w:sz w:val="20"/>
                      <w:szCs w:val="20"/>
                      <w:lang w:val="en-GB" w:eastAsia="es-EC"/>
                    </w:rPr>
                    <m:t>)</m:t>
                  </m:r>
                </m:e>
              </m:func>
            </m:oMath>
          </w:p>
        </w:tc>
      </w:tr>
      <w:tr w:rsidR="008D3FE1" w:rsidRPr="0009669D" w14:paraId="0902DF32" w14:textId="77777777" w:rsidTr="00C200CC">
        <w:trPr>
          <w:trHeight w:val="255"/>
          <w:jc w:val="center"/>
        </w:trPr>
        <w:tc>
          <w:tcPr>
            <w:tcW w:w="1354" w:type="dxa"/>
            <w:tcBorders>
              <w:top w:val="nil"/>
              <w:left w:val="nil"/>
              <w:bottom w:val="single" w:sz="4" w:space="0" w:color="auto"/>
              <w:right w:val="nil"/>
            </w:tcBorders>
            <w:shd w:val="clear" w:color="000000" w:fill="FFFFFF"/>
            <w:hideMark/>
          </w:tcPr>
          <w:p w14:paraId="0EC61171"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780" w:type="dxa"/>
            <w:tcBorders>
              <w:top w:val="nil"/>
              <w:left w:val="nil"/>
              <w:bottom w:val="single" w:sz="4" w:space="0" w:color="auto"/>
              <w:right w:val="nil"/>
            </w:tcBorders>
            <w:shd w:val="clear" w:color="000000" w:fill="FFFFFF"/>
            <w:hideMark/>
          </w:tcPr>
          <w:p w14:paraId="5F97C8DB" w14:textId="77777777" w:rsidR="008D3FE1" w:rsidRPr="0009669D" w:rsidRDefault="002D5BE5" w:rsidP="00C200CC">
            <w:pPr>
              <w:keepNext/>
              <w:spacing w:after="0" w:line="276" w:lineRule="auto"/>
              <w:ind w:firstLine="0"/>
              <w:jc w:val="left"/>
              <w:rPr>
                <w:rFonts w:eastAsia="Times New Roman" w:cs="Times New Roman"/>
                <w:color w:val="000000"/>
                <w:sz w:val="20"/>
                <w:szCs w:val="20"/>
                <w:lang w:val="en-GB" w:eastAsia="es-EC"/>
              </w:rPr>
            </w:pPr>
            <m:oMathPara>
              <m:oMathParaPr>
                <m:jc m:val="left"/>
              </m:oMathParaPr>
              <m:oMath>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G</m:t>
                    </m:r>
                  </m:e>
                  <m:sub>
                    <m:r>
                      <w:rPr>
                        <w:rFonts w:ascii="Cambria Math" w:eastAsia="Times New Roman" w:hAnsi="Cambria Math" w:cs="Times New Roman"/>
                        <w:color w:val="000000"/>
                        <w:sz w:val="20"/>
                        <w:szCs w:val="20"/>
                        <w:lang w:val="en-GB" w:eastAsia="es-EC"/>
                      </w:rPr>
                      <m:t>emp</m:t>
                    </m:r>
                  </m:sub>
                </m:sSub>
              </m:oMath>
            </m:oMathPara>
          </w:p>
        </w:tc>
        <w:tc>
          <w:tcPr>
            <w:tcW w:w="1825" w:type="dxa"/>
            <w:tcBorders>
              <w:top w:val="nil"/>
              <w:left w:val="nil"/>
              <w:bottom w:val="single" w:sz="4" w:space="0" w:color="auto"/>
              <w:right w:val="nil"/>
            </w:tcBorders>
            <w:shd w:val="clear" w:color="000000" w:fill="FFFFFF"/>
            <w:hideMark/>
          </w:tcPr>
          <w:p w14:paraId="5D016B39"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Employment growth</w:t>
            </w:r>
          </w:p>
        </w:tc>
        <w:tc>
          <w:tcPr>
            <w:tcW w:w="3554" w:type="dxa"/>
            <w:tcBorders>
              <w:top w:val="nil"/>
              <w:left w:val="nil"/>
              <w:bottom w:val="single" w:sz="4" w:space="0" w:color="auto"/>
              <w:right w:val="nil"/>
            </w:tcBorders>
            <w:shd w:val="clear" w:color="000000" w:fill="FFFFFF"/>
            <w:hideMark/>
          </w:tcPr>
          <w:p w14:paraId="1A7B589B"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m:oMath>
              <m:func>
                <m:funcPr>
                  <m:ctrlPr>
                    <w:rPr>
                      <w:rFonts w:ascii="Cambria Math" w:eastAsia="Times New Roman" w:hAnsi="Cambria Math" w:cs="Times New Roman"/>
                      <w:i/>
                      <w:color w:val="000000"/>
                      <w:sz w:val="20"/>
                      <w:szCs w:val="20"/>
                      <w:lang w:val="en-GB" w:eastAsia="es-EC"/>
                    </w:rPr>
                  </m:ctrlPr>
                </m:funcPr>
                <m:fName>
                  <m:r>
                    <m:rPr>
                      <m:sty m:val="p"/>
                    </m:rPr>
                    <w:rPr>
                      <w:rFonts w:ascii="Cambria Math" w:eastAsia="Times New Roman" w:hAnsi="Cambria Math" w:cs="Times New Roman"/>
                      <w:color w:val="000000"/>
                      <w:sz w:val="20"/>
                      <w:szCs w:val="20"/>
                      <w:lang w:val="en-GB"/>
                    </w:rPr>
                    <m:t>ln</m:t>
                  </m:r>
                </m:fName>
                <m:e>
                  <m:r>
                    <w:rPr>
                      <w:rFonts w:ascii="Cambria Math" w:eastAsia="Times New Roman" w:hAnsi="Cambria Math" w:cs="Times New Roman"/>
                      <w:color w:val="000000"/>
                      <w:sz w:val="20"/>
                      <w:szCs w:val="20"/>
                      <w:lang w:val="en-GB" w:eastAsia="es-EC"/>
                    </w:rPr>
                    <m:t>(</m:t>
                  </m:r>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employment</m:t>
                      </m:r>
                    </m:e>
                    <m:sub>
                      <m:r>
                        <w:rPr>
                          <w:rFonts w:ascii="Cambria Math" w:eastAsia="Times New Roman" w:hAnsi="Cambria Math" w:cs="Times New Roman"/>
                          <w:color w:val="000000"/>
                          <w:sz w:val="20"/>
                          <w:szCs w:val="20"/>
                          <w:lang w:val="en-GB" w:eastAsia="es-EC"/>
                        </w:rPr>
                        <m:t>i,t</m:t>
                      </m:r>
                    </m:sub>
                  </m:sSub>
                  <m:r>
                    <w:rPr>
                      <w:rFonts w:ascii="Cambria Math" w:eastAsia="Times New Roman" w:hAnsi="Cambria Math" w:cs="Times New Roman"/>
                      <w:color w:val="000000"/>
                      <w:sz w:val="20"/>
                      <w:szCs w:val="20"/>
                      <w:lang w:val="en-GB" w:eastAsia="es-EC"/>
                    </w:rPr>
                    <m:t>/</m:t>
                  </m:r>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employment</m:t>
                      </m:r>
                    </m:e>
                    <m:sub>
                      <m:r>
                        <w:rPr>
                          <w:rFonts w:ascii="Cambria Math" w:eastAsia="Times New Roman" w:hAnsi="Cambria Math" w:cs="Times New Roman"/>
                          <w:color w:val="000000"/>
                          <w:sz w:val="20"/>
                          <w:szCs w:val="20"/>
                          <w:lang w:val="en-GB" w:eastAsia="es-EC"/>
                        </w:rPr>
                        <m:t>i,t-1</m:t>
                      </m:r>
                    </m:sub>
                  </m:sSub>
                  <m:r>
                    <w:rPr>
                      <w:rFonts w:ascii="Cambria Math" w:eastAsia="Times New Roman" w:hAnsi="Cambria Math" w:cs="Times New Roman"/>
                      <w:color w:val="000000"/>
                      <w:sz w:val="20"/>
                      <w:szCs w:val="20"/>
                      <w:lang w:val="en-GB" w:eastAsia="es-EC"/>
                    </w:rPr>
                    <m:t>)</m:t>
                  </m:r>
                </m:e>
              </m:func>
            </m:oMath>
          </w:p>
        </w:tc>
      </w:tr>
      <w:tr w:rsidR="008D3FE1" w:rsidRPr="0009669D" w14:paraId="2A416353" w14:textId="77777777" w:rsidTr="00C200CC">
        <w:trPr>
          <w:trHeight w:val="510"/>
          <w:jc w:val="center"/>
        </w:trPr>
        <w:tc>
          <w:tcPr>
            <w:tcW w:w="1354" w:type="dxa"/>
            <w:tcBorders>
              <w:top w:val="single" w:sz="4" w:space="0" w:color="auto"/>
              <w:left w:val="nil"/>
              <w:bottom w:val="nil"/>
              <w:right w:val="nil"/>
            </w:tcBorders>
            <w:shd w:val="clear" w:color="000000" w:fill="FFFFFF"/>
            <w:hideMark/>
          </w:tcPr>
          <w:p w14:paraId="4E392D12"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Company characteristics</w:t>
            </w:r>
          </w:p>
        </w:tc>
        <w:tc>
          <w:tcPr>
            <w:tcW w:w="780" w:type="dxa"/>
            <w:tcBorders>
              <w:top w:val="single" w:sz="4" w:space="0" w:color="auto"/>
              <w:left w:val="nil"/>
              <w:bottom w:val="nil"/>
              <w:right w:val="nil"/>
            </w:tcBorders>
            <w:shd w:val="clear" w:color="000000" w:fill="FFFFFF"/>
            <w:hideMark/>
          </w:tcPr>
          <w:p w14:paraId="0282F651"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m:oMathPara>
              <m:oMathParaPr>
                <m:jc m:val="left"/>
              </m:oMathParaPr>
              <m:oMath>
                <m:r>
                  <w:rPr>
                    <w:rFonts w:ascii="Cambria Math" w:eastAsia="Times New Roman" w:hAnsi="Cambria Math" w:cs="Times New Roman"/>
                    <w:color w:val="000000"/>
                    <w:sz w:val="20"/>
                    <w:szCs w:val="20"/>
                    <w:lang w:val="en-GB" w:eastAsia="es-EC"/>
                  </w:rPr>
                  <m:t>llns</m:t>
                </m:r>
              </m:oMath>
            </m:oMathPara>
          </w:p>
        </w:tc>
        <w:tc>
          <w:tcPr>
            <w:tcW w:w="1825" w:type="dxa"/>
            <w:tcBorders>
              <w:top w:val="single" w:sz="4" w:space="0" w:color="auto"/>
              <w:left w:val="nil"/>
              <w:bottom w:val="nil"/>
              <w:right w:val="nil"/>
            </w:tcBorders>
            <w:shd w:val="clear" w:color="000000" w:fill="FFFFFF"/>
            <w:hideMark/>
          </w:tcPr>
          <w:p w14:paraId="75302EAE"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Size: Sales delayed one period</w:t>
            </w:r>
          </w:p>
        </w:tc>
        <w:tc>
          <w:tcPr>
            <w:tcW w:w="3554" w:type="dxa"/>
            <w:tcBorders>
              <w:top w:val="single" w:sz="4" w:space="0" w:color="auto"/>
              <w:left w:val="nil"/>
              <w:bottom w:val="nil"/>
              <w:right w:val="nil"/>
            </w:tcBorders>
            <w:shd w:val="clear" w:color="000000" w:fill="FFFFFF"/>
            <w:hideMark/>
          </w:tcPr>
          <w:p w14:paraId="547BBE53"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m:oMath>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lns</m:t>
                  </m:r>
                </m:e>
                <m:sub>
                  <m:r>
                    <w:rPr>
                      <w:rFonts w:ascii="Cambria Math" w:eastAsia="Times New Roman" w:hAnsi="Cambria Math" w:cs="Times New Roman"/>
                      <w:color w:val="000000"/>
                      <w:sz w:val="20"/>
                      <w:szCs w:val="20"/>
                      <w:lang w:val="en-GB" w:eastAsia="es-EC"/>
                    </w:rPr>
                    <m:t>(t-1)</m:t>
                  </m:r>
                </m:sub>
              </m:sSub>
            </m:oMath>
          </w:p>
        </w:tc>
      </w:tr>
      <w:tr w:rsidR="008D3FE1" w:rsidRPr="0009669D" w14:paraId="46451005" w14:textId="77777777" w:rsidTr="00C200CC">
        <w:trPr>
          <w:trHeight w:val="510"/>
          <w:jc w:val="center"/>
        </w:trPr>
        <w:tc>
          <w:tcPr>
            <w:tcW w:w="1354" w:type="dxa"/>
            <w:tcBorders>
              <w:top w:val="nil"/>
              <w:left w:val="nil"/>
              <w:bottom w:val="nil"/>
              <w:right w:val="nil"/>
            </w:tcBorders>
            <w:shd w:val="clear" w:color="000000" w:fill="FFFFFF"/>
            <w:hideMark/>
          </w:tcPr>
          <w:p w14:paraId="298C3395"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w:p>
        </w:tc>
        <w:tc>
          <w:tcPr>
            <w:tcW w:w="780" w:type="dxa"/>
            <w:tcBorders>
              <w:top w:val="nil"/>
              <w:left w:val="nil"/>
              <w:bottom w:val="nil"/>
              <w:right w:val="nil"/>
            </w:tcBorders>
            <w:shd w:val="clear" w:color="000000" w:fill="FFFFFF"/>
            <w:hideMark/>
          </w:tcPr>
          <w:p w14:paraId="02A39919"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m:oMathPara>
              <m:oMathParaPr>
                <m:jc m:val="left"/>
              </m:oMathParaPr>
              <m:oMath>
                <m:r>
                  <w:rPr>
                    <w:rFonts w:ascii="Cambria Math" w:eastAsia="Times New Roman" w:hAnsi="Cambria Math" w:cs="Times New Roman"/>
                    <w:color w:val="000000"/>
                    <w:sz w:val="20"/>
                    <w:szCs w:val="20"/>
                    <w:lang w:val="en-GB" w:eastAsia="es-EC"/>
                  </w:rPr>
                  <m:t>llnemp</m:t>
                </m:r>
              </m:oMath>
            </m:oMathPara>
          </w:p>
        </w:tc>
        <w:tc>
          <w:tcPr>
            <w:tcW w:w="1825" w:type="dxa"/>
            <w:tcBorders>
              <w:top w:val="nil"/>
              <w:left w:val="nil"/>
              <w:bottom w:val="nil"/>
              <w:right w:val="nil"/>
            </w:tcBorders>
            <w:shd w:val="clear" w:color="000000" w:fill="FFFFFF"/>
            <w:hideMark/>
          </w:tcPr>
          <w:p w14:paraId="59350FE0"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Size: Employment delayed one period</w:t>
            </w:r>
          </w:p>
        </w:tc>
        <w:tc>
          <w:tcPr>
            <w:tcW w:w="3554" w:type="dxa"/>
            <w:tcBorders>
              <w:top w:val="nil"/>
              <w:left w:val="nil"/>
              <w:bottom w:val="nil"/>
              <w:right w:val="nil"/>
            </w:tcBorders>
            <w:shd w:val="clear" w:color="000000" w:fill="FFFFFF"/>
            <w:hideMark/>
          </w:tcPr>
          <w:p w14:paraId="63AEDC44" w14:textId="77777777" w:rsidR="008D3FE1" w:rsidRPr="0009669D" w:rsidRDefault="002D5BE5" w:rsidP="00C200CC">
            <w:pPr>
              <w:keepNext/>
              <w:spacing w:after="0" w:line="276" w:lineRule="auto"/>
              <w:ind w:firstLine="0"/>
              <w:jc w:val="left"/>
              <w:rPr>
                <w:rFonts w:eastAsia="Times New Roman" w:cs="Times New Roman"/>
                <w:color w:val="000000"/>
                <w:sz w:val="20"/>
                <w:szCs w:val="20"/>
                <w:lang w:val="en-GB" w:eastAsia="es-EC"/>
              </w:rPr>
            </w:pPr>
            <m:oMathPara>
              <m:oMathParaPr>
                <m:jc m:val="left"/>
              </m:oMathParaPr>
              <m:oMath>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lnemp</m:t>
                    </m:r>
                  </m:e>
                  <m:sub>
                    <m:r>
                      <w:rPr>
                        <w:rFonts w:ascii="Cambria Math" w:eastAsia="Times New Roman" w:hAnsi="Cambria Math" w:cs="Times New Roman"/>
                        <w:color w:val="000000"/>
                        <w:sz w:val="20"/>
                        <w:szCs w:val="20"/>
                        <w:lang w:val="en-GB" w:eastAsia="es-EC"/>
                      </w:rPr>
                      <m:t>(t-1)</m:t>
                    </m:r>
                  </m:sub>
                </m:sSub>
              </m:oMath>
            </m:oMathPara>
          </w:p>
        </w:tc>
      </w:tr>
      <w:tr w:rsidR="008D3FE1" w:rsidRPr="0009669D" w14:paraId="158D23E2" w14:textId="77777777" w:rsidTr="00C200CC">
        <w:trPr>
          <w:trHeight w:val="510"/>
          <w:jc w:val="center"/>
        </w:trPr>
        <w:tc>
          <w:tcPr>
            <w:tcW w:w="1354" w:type="dxa"/>
            <w:tcBorders>
              <w:top w:val="nil"/>
              <w:left w:val="nil"/>
              <w:right w:val="nil"/>
            </w:tcBorders>
            <w:shd w:val="clear" w:color="000000" w:fill="FFFFFF"/>
            <w:hideMark/>
          </w:tcPr>
          <w:p w14:paraId="62845832"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p>
        </w:tc>
        <w:tc>
          <w:tcPr>
            <w:tcW w:w="780" w:type="dxa"/>
            <w:tcBorders>
              <w:top w:val="nil"/>
              <w:left w:val="nil"/>
              <w:right w:val="nil"/>
            </w:tcBorders>
            <w:shd w:val="clear" w:color="000000" w:fill="FFFFFF"/>
            <w:hideMark/>
          </w:tcPr>
          <w:p w14:paraId="0A3861D7"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m:oMathPara>
              <m:oMathParaPr>
                <m:jc m:val="left"/>
              </m:oMathParaPr>
              <m:oMath>
                <m:r>
                  <w:rPr>
                    <w:rFonts w:ascii="Cambria Math" w:eastAsia="Times New Roman" w:hAnsi="Cambria Math" w:cs="Times New Roman"/>
                    <w:color w:val="000000"/>
                    <w:sz w:val="20"/>
                    <w:szCs w:val="20"/>
                    <w:lang w:val="en-GB" w:eastAsia="es-EC"/>
                  </w:rPr>
                  <m:t>age</m:t>
                </m:r>
              </m:oMath>
            </m:oMathPara>
          </w:p>
        </w:tc>
        <w:tc>
          <w:tcPr>
            <w:tcW w:w="1825" w:type="dxa"/>
            <w:tcBorders>
              <w:top w:val="nil"/>
              <w:left w:val="nil"/>
              <w:right w:val="nil"/>
            </w:tcBorders>
            <w:shd w:val="clear" w:color="000000" w:fill="FFFFFF"/>
            <w:hideMark/>
          </w:tcPr>
          <w:p w14:paraId="300E2942"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Age</w:t>
            </w:r>
          </w:p>
        </w:tc>
        <w:tc>
          <w:tcPr>
            <w:tcW w:w="3554" w:type="dxa"/>
            <w:tcBorders>
              <w:top w:val="nil"/>
              <w:left w:val="nil"/>
              <w:right w:val="nil"/>
            </w:tcBorders>
            <w:shd w:val="clear" w:color="000000" w:fill="FFFFFF"/>
            <w:hideMark/>
          </w:tcPr>
          <w:p w14:paraId="2A518CA3"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m:oMath>
              <m:r>
                <w:rPr>
                  <w:rFonts w:ascii="Cambria Math" w:eastAsia="Times New Roman" w:hAnsi="Cambria Math" w:cs="Times New Roman"/>
                  <w:color w:val="000000"/>
                  <w:sz w:val="20"/>
                  <w:szCs w:val="20"/>
                  <w:lang w:val="en-GB" w:eastAsia="es-EC"/>
                </w:rPr>
                <m:t>Age in year</m:t>
              </m:r>
            </m:oMath>
          </w:p>
        </w:tc>
      </w:tr>
      <w:tr w:rsidR="008D3FE1" w:rsidRPr="00CB7626" w14:paraId="74AC90EF" w14:textId="77777777" w:rsidTr="00C200CC">
        <w:trPr>
          <w:trHeight w:val="510"/>
          <w:jc w:val="center"/>
        </w:trPr>
        <w:tc>
          <w:tcPr>
            <w:tcW w:w="1354" w:type="dxa"/>
            <w:tcBorders>
              <w:top w:val="single" w:sz="4" w:space="0" w:color="auto"/>
              <w:left w:val="nil"/>
              <w:bottom w:val="single" w:sz="4" w:space="0" w:color="auto"/>
              <w:right w:val="nil"/>
            </w:tcBorders>
            <w:shd w:val="clear" w:color="000000" w:fill="FFFFFF"/>
            <w:hideMark/>
          </w:tcPr>
          <w:p w14:paraId="62A64055"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Financial characteristics</w:t>
            </w:r>
          </w:p>
        </w:tc>
        <w:tc>
          <w:tcPr>
            <w:tcW w:w="780" w:type="dxa"/>
            <w:tcBorders>
              <w:top w:val="single" w:sz="4" w:space="0" w:color="auto"/>
              <w:left w:val="nil"/>
              <w:bottom w:val="single" w:sz="4" w:space="0" w:color="auto"/>
              <w:right w:val="nil"/>
            </w:tcBorders>
            <w:shd w:val="clear" w:color="000000" w:fill="FFFFFF"/>
            <w:hideMark/>
          </w:tcPr>
          <w:p w14:paraId="1EFEF5AA" w14:textId="77777777" w:rsidR="008D3FE1" w:rsidRPr="0009669D" w:rsidRDefault="002D5BE5" w:rsidP="00C200CC">
            <w:pPr>
              <w:keepNext/>
              <w:spacing w:after="0" w:line="276" w:lineRule="auto"/>
              <w:ind w:firstLine="0"/>
              <w:jc w:val="left"/>
              <w:rPr>
                <w:rFonts w:eastAsia="Times New Roman" w:cs="Times New Roman"/>
                <w:color w:val="000000"/>
                <w:sz w:val="20"/>
                <w:szCs w:val="20"/>
                <w:lang w:val="en-GB" w:eastAsia="es-EC"/>
              </w:rPr>
            </w:pPr>
            <m:oMathPara>
              <m:oMathParaPr>
                <m:jc m:val="left"/>
              </m:oMathParaPr>
              <m:oMath>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G</m:t>
                    </m:r>
                  </m:e>
                  <m:sub>
                    <m:r>
                      <w:rPr>
                        <w:rFonts w:ascii="Cambria Math" w:eastAsia="Times New Roman" w:hAnsi="Cambria Math" w:cs="Times New Roman"/>
                        <w:color w:val="000000"/>
                        <w:sz w:val="20"/>
                        <w:szCs w:val="20"/>
                        <w:lang w:val="en-GB" w:eastAsia="es-EC"/>
                      </w:rPr>
                      <m:t>k</m:t>
                    </m:r>
                  </m:sub>
                </m:sSub>
              </m:oMath>
            </m:oMathPara>
          </w:p>
        </w:tc>
        <w:tc>
          <w:tcPr>
            <w:tcW w:w="1825" w:type="dxa"/>
            <w:tcBorders>
              <w:top w:val="single" w:sz="4" w:space="0" w:color="auto"/>
              <w:left w:val="nil"/>
              <w:bottom w:val="single" w:sz="4" w:space="0" w:color="auto"/>
              <w:right w:val="nil"/>
            </w:tcBorders>
            <w:shd w:val="clear" w:color="000000" w:fill="FFFFFF"/>
            <w:hideMark/>
          </w:tcPr>
          <w:p w14:paraId="36234D1B"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Capital growth</w:t>
            </w:r>
          </w:p>
        </w:tc>
        <w:tc>
          <w:tcPr>
            <w:tcW w:w="3554" w:type="dxa"/>
            <w:tcBorders>
              <w:top w:val="single" w:sz="4" w:space="0" w:color="auto"/>
              <w:left w:val="nil"/>
              <w:bottom w:val="single" w:sz="4" w:space="0" w:color="auto"/>
              <w:right w:val="nil"/>
            </w:tcBorders>
            <w:shd w:val="clear" w:color="000000" w:fill="FFFFFF"/>
            <w:hideMark/>
          </w:tcPr>
          <w:p w14:paraId="0351D031" w14:textId="77777777" w:rsidR="008D3FE1" w:rsidRPr="0009669D" w:rsidRDefault="008D3FE1" w:rsidP="00C200CC">
            <w:pPr>
              <w:keepNext/>
              <w:spacing w:after="0" w:line="276" w:lineRule="auto"/>
              <w:ind w:firstLine="0"/>
              <w:jc w:val="left"/>
              <w:rPr>
                <w:rFonts w:eastAsia="Times New Roman" w:cs="Times New Roman"/>
                <w:color w:val="000000"/>
                <w:sz w:val="20"/>
                <w:szCs w:val="20"/>
                <w:lang w:val="en-GB" w:eastAsia="es-EC"/>
              </w:rPr>
            </w:pPr>
            <w:r w:rsidRPr="0009669D">
              <w:rPr>
                <w:rFonts w:eastAsia="Times New Roman" w:cs="Times New Roman"/>
                <w:color w:val="000000"/>
                <w:sz w:val="20"/>
                <w:szCs w:val="20"/>
                <w:lang w:val="en-GB" w:eastAsia="es-EC"/>
              </w:rPr>
              <w:t> </w:t>
            </w:r>
            <m:oMath>
              <m:func>
                <m:funcPr>
                  <m:ctrlPr>
                    <w:rPr>
                      <w:rFonts w:ascii="Cambria Math" w:eastAsia="Times New Roman" w:hAnsi="Cambria Math" w:cs="Times New Roman"/>
                      <w:i/>
                      <w:color w:val="000000"/>
                      <w:sz w:val="20"/>
                      <w:szCs w:val="20"/>
                      <w:lang w:val="en-GB" w:eastAsia="es-EC"/>
                    </w:rPr>
                  </m:ctrlPr>
                </m:funcPr>
                <m:fName>
                  <m:r>
                    <m:rPr>
                      <m:sty m:val="p"/>
                    </m:rPr>
                    <w:rPr>
                      <w:rFonts w:ascii="Cambria Math" w:eastAsia="Times New Roman" w:hAnsi="Cambria Math" w:cs="Times New Roman"/>
                      <w:color w:val="000000"/>
                      <w:sz w:val="20"/>
                      <w:szCs w:val="20"/>
                      <w:lang w:val="en-GB"/>
                    </w:rPr>
                    <m:t>ln</m:t>
                  </m:r>
                </m:fName>
                <m:e>
                  <m:r>
                    <w:rPr>
                      <w:rFonts w:ascii="Cambria Math" w:eastAsia="Times New Roman" w:hAnsi="Cambria Math" w:cs="Times New Roman"/>
                      <w:color w:val="000000"/>
                      <w:sz w:val="20"/>
                      <w:szCs w:val="20"/>
                      <w:lang w:val="en-GB" w:eastAsia="es-EC"/>
                    </w:rPr>
                    <m:t>(</m:t>
                  </m:r>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capital</m:t>
                      </m:r>
                    </m:e>
                    <m:sub>
                      <m:r>
                        <w:rPr>
                          <w:rFonts w:ascii="Cambria Math" w:eastAsia="Times New Roman" w:hAnsi="Cambria Math" w:cs="Times New Roman"/>
                          <w:color w:val="000000"/>
                          <w:sz w:val="20"/>
                          <w:szCs w:val="20"/>
                          <w:lang w:val="en-GB" w:eastAsia="es-EC"/>
                        </w:rPr>
                        <m:t>i,t</m:t>
                      </m:r>
                    </m:sub>
                  </m:sSub>
                  <m:r>
                    <w:rPr>
                      <w:rFonts w:ascii="Cambria Math" w:eastAsia="Times New Roman" w:hAnsi="Cambria Math" w:cs="Times New Roman"/>
                      <w:color w:val="000000"/>
                      <w:sz w:val="20"/>
                      <w:szCs w:val="20"/>
                      <w:lang w:val="en-GB" w:eastAsia="es-EC"/>
                    </w:rPr>
                    <m:t>/</m:t>
                  </m:r>
                  <m:sSub>
                    <m:sSubPr>
                      <m:ctrlPr>
                        <w:rPr>
                          <w:rFonts w:ascii="Cambria Math" w:eastAsia="Times New Roman" w:hAnsi="Cambria Math" w:cs="Times New Roman"/>
                          <w:i/>
                          <w:color w:val="000000"/>
                          <w:sz w:val="20"/>
                          <w:szCs w:val="20"/>
                          <w:lang w:val="en-GB" w:eastAsia="es-EC"/>
                        </w:rPr>
                      </m:ctrlPr>
                    </m:sSubPr>
                    <m:e>
                      <m:r>
                        <w:rPr>
                          <w:rFonts w:ascii="Cambria Math" w:eastAsia="Times New Roman" w:hAnsi="Cambria Math" w:cs="Times New Roman"/>
                          <w:color w:val="000000"/>
                          <w:sz w:val="20"/>
                          <w:szCs w:val="20"/>
                          <w:lang w:val="en-GB" w:eastAsia="es-EC"/>
                        </w:rPr>
                        <m:t>capital</m:t>
                      </m:r>
                    </m:e>
                    <m:sub>
                      <m:r>
                        <w:rPr>
                          <w:rFonts w:ascii="Cambria Math" w:eastAsia="Times New Roman" w:hAnsi="Cambria Math" w:cs="Times New Roman"/>
                          <w:color w:val="000000"/>
                          <w:sz w:val="20"/>
                          <w:szCs w:val="20"/>
                          <w:lang w:val="en-GB" w:eastAsia="es-EC"/>
                        </w:rPr>
                        <m:t>i,t-1</m:t>
                      </m:r>
                    </m:sub>
                  </m:sSub>
                  <m:r>
                    <w:rPr>
                      <w:rFonts w:ascii="Cambria Math" w:eastAsia="Times New Roman" w:hAnsi="Cambria Math" w:cs="Times New Roman"/>
                      <w:color w:val="000000"/>
                      <w:sz w:val="20"/>
                      <w:szCs w:val="20"/>
                      <w:lang w:val="en-GB" w:eastAsia="es-EC"/>
                    </w:rPr>
                    <m:t>)</m:t>
                  </m:r>
                </m:e>
              </m:func>
            </m:oMath>
            <w:r w:rsidRPr="0009669D">
              <w:rPr>
                <w:rFonts w:eastAsia="Times New Roman" w:cs="Times New Roman"/>
                <w:color w:val="000000"/>
                <w:sz w:val="20"/>
                <w:szCs w:val="20"/>
                <w:lang w:val="en-GB" w:eastAsia="es-EC"/>
              </w:rPr>
              <w:t xml:space="preserve"> </w:t>
            </w:r>
          </w:p>
        </w:tc>
      </w:tr>
    </w:tbl>
    <w:p w14:paraId="75B64249" w14:textId="77777777" w:rsidR="001F0647" w:rsidRPr="0009669D" w:rsidRDefault="001F0647" w:rsidP="001F0647">
      <w:pPr>
        <w:pStyle w:val="Ttulotablasygrficos"/>
        <w:spacing w:line="276" w:lineRule="auto"/>
        <w:ind w:firstLine="0"/>
        <w:rPr>
          <w:b w:val="0"/>
          <w:lang w:val="en-GB"/>
        </w:rPr>
      </w:pPr>
      <w:r w:rsidRPr="0009669D">
        <w:rPr>
          <w:b w:val="0"/>
          <w:lang w:val="en-GB"/>
        </w:rPr>
        <w:t>Source: own elaboration</w:t>
      </w:r>
    </w:p>
    <w:p w14:paraId="501BA341" w14:textId="18CC16D3" w:rsidR="0004654D" w:rsidRPr="0009669D" w:rsidRDefault="008B5E4A" w:rsidP="00B30796">
      <w:pPr>
        <w:pStyle w:val="Prrafodelista"/>
        <w:numPr>
          <w:ilvl w:val="1"/>
          <w:numId w:val="19"/>
        </w:numPr>
        <w:spacing w:after="0"/>
        <w:rPr>
          <w:b/>
          <w:lang w:val="en-GB"/>
        </w:rPr>
      </w:pPr>
      <w:r w:rsidRPr="0009669D">
        <w:rPr>
          <w:b/>
          <w:lang w:val="en-GB"/>
        </w:rPr>
        <w:t>Estimation strategy and model specification</w:t>
      </w:r>
    </w:p>
    <w:p w14:paraId="6A1B0CE9" w14:textId="77777777" w:rsidR="00277E6E" w:rsidRPr="0009669D" w:rsidRDefault="00277E6E" w:rsidP="00277E6E">
      <w:pPr>
        <w:spacing w:after="0"/>
        <w:rPr>
          <w:b/>
          <w:lang w:val="en-GB"/>
        </w:rPr>
      </w:pPr>
    </w:p>
    <w:p w14:paraId="6C5E206F" w14:textId="27592029" w:rsidR="008B5E4A" w:rsidRPr="0009669D" w:rsidRDefault="008B5E4A" w:rsidP="0070319D">
      <w:pPr>
        <w:ind w:firstLine="0"/>
        <w:rPr>
          <w:lang w:val="en-GB"/>
        </w:rPr>
      </w:pPr>
      <w:r w:rsidRPr="0009669D">
        <w:rPr>
          <w:lang w:val="en-GB"/>
        </w:rPr>
        <w:t xml:space="preserve">Using quantile regression techniques Coad &amp; </w:t>
      </w:r>
      <w:proofErr w:type="spellStart"/>
      <w:r w:rsidRPr="0009669D">
        <w:rPr>
          <w:lang w:val="en-GB"/>
        </w:rPr>
        <w:t>Rao</w:t>
      </w:r>
      <w:proofErr w:type="spellEnd"/>
      <w:r w:rsidRPr="0009669D">
        <w:rPr>
          <w:lang w:val="en-GB"/>
        </w:rPr>
        <w:t xml:space="preserve"> (2008), </w:t>
      </w:r>
      <w:proofErr w:type="spellStart"/>
      <w:r w:rsidRPr="0009669D">
        <w:rPr>
          <w:lang w:val="en-GB"/>
        </w:rPr>
        <w:t>Serrasqueiro</w:t>
      </w:r>
      <w:proofErr w:type="spellEnd"/>
      <w:r w:rsidRPr="0009669D">
        <w:rPr>
          <w:lang w:val="en-GB"/>
        </w:rPr>
        <w:t xml:space="preserve"> et al., (2010) and </w:t>
      </w:r>
      <w:proofErr w:type="spellStart"/>
      <w:r w:rsidRPr="0009669D">
        <w:rPr>
          <w:lang w:val="en-GB"/>
        </w:rPr>
        <w:t>Bentzen</w:t>
      </w:r>
      <w:proofErr w:type="spellEnd"/>
      <w:r w:rsidRPr="0009669D">
        <w:rPr>
          <w:lang w:val="en-GB"/>
        </w:rPr>
        <w:t xml:space="preserve"> et al., (2012) analy</w:t>
      </w:r>
      <w:r w:rsidR="0009669D">
        <w:rPr>
          <w:lang w:val="en-GB"/>
        </w:rPr>
        <w:t>s</w:t>
      </w:r>
      <w:r w:rsidRPr="0009669D">
        <w:rPr>
          <w:lang w:val="en-GB"/>
        </w:rPr>
        <w:t>e the growth of companies. These investigations consider the regression technique to be optimal because it provides estimates taking into account the position that the company occupies along the distribution of the growth rate, so that a complete view of the relationship between the independent variables and the growth of the company.</w:t>
      </w:r>
    </w:p>
    <w:p w14:paraId="5B22EC4E" w14:textId="7AFA5555" w:rsidR="0032184C" w:rsidRPr="0009669D" w:rsidRDefault="0032184C" w:rsidP="0070319D">
      <w:pPr>
        <w:ind w:firstLine="0"/>
        <w:rPr>
          <w:lang w:val="en-GB"/>
        </w:rPr>
      </w:pPr>
      <w:proofErr w:type="spellStart"/>
      <w:r w:rsidRPr="0009669D">
        <w:rPr>
          <w:lang w:val="en-GB"/>
        </w:rPr>
        <w:t>Vicéns</w:t>
      </w:r>
      <w:proofErr w:type="spellEnd"/>
      <w:r w:rsidRPr="0009669D">
        <w:rPr>
          <w:lang w:val="en-GB"/>
        </w:rPr>
        <w:t xml:space="preserve"> &amp; Sánchez (2012) state that quantile regression is a technique that was used in its beginnings with the aim of reducing the sum of absolute errors weighted with asymmetric weights, its application allows obtaining better results when using a large amount of cross-sectional data.</w:t>
      </w:r>
      <w:r w:rsidR="0009669D" w:rsidRPr="0009669D">
        <w:rPr>
          <w:lang w:val="en-GB"/>
        </w:rPr>
        <w:t xml:space="preserve"> </w:t>
      </w:r>
      <w:r w:rsidRPr="0009669D">
        <w:rPr>
          <w:lang w:val="en-GB"/>
        </w:rPr>
        <w:t>Canay (2011) exposes a set of conditions to establish a quantile regression of panel data with fixed effects that allows the researcher to take into account heterogeneity and control of unobserved covariates.</w:t>
      </w:r>
    </w:p>
    <w:p w14:paraId="5C8AD4DE" w14:textId="15CB7DD4" w:rsidR="0032184C" w:rsidRPr="0009669D" w:rsidRDefault="0032184C" w:rsidP="0070319D">
      <w:pPr>
        <w:ind w:firstLine="0"/>
        <w:rPr>
          <w:lang w:val="en-GB"/>
        </w:rPr>
      </w:pPr>
      <w:r w:rsidRPr="0009669D">
        <w:rPr>
          <w:lang w:val="en-GB"/>
        </w:rPr>
        <w:t xml:space="preserve">In order to determine business growth in the manufacturing sector of Ecuador, two models are proposed </w:t>
      </w:r>
      <w:r w:rsidR="00B94705" w:rsidRPr="0009669D">
        <w:rPr>
          <w:lang w:val="en-GB"/>
        </w:rPr>
        <w:t xml:space="preserve">around the growth of </w:t>
      </w:r>
      <w:r w:rsidRPr="0009669D">
        <w:rPr>
          <w:lang w:val="en-GB"/>
        </w:rPr>
        <w:t xml:space="preserve">sales </w:t>
      </w:r>
      <w:r w:rsidR="00B94705" w:rsidRPr="0009669D">
        <w:rPr>
          <w:rFonts w:eastAsia="Calibri" w:cs="Times New Roman"/>
          <w:lang w:val="en-GB"/>
        </w:rPr>
        <w:t>(</w:t>
      </w:r>
      <m:oMath>
        <m:sSub>
          <m:sSubPr>
            <m:ctrlPr>
              <w:rPr>
                <w:rFonts w:ascii="Cambria Math" w:eastAsia="Calibri" w:hAnsi="Cambria Math" w:cs="Times New Roman"/>
                <w:i/>
                <w:lang w:val="en-GB"/>
              </w:rPr>
            </m:ctrlPr>
          </m:sSubPr>
          <m:e>
            <m:r>
              <w:rPr>
                <w:rFonts w:ascii="Cambria Math" w:eastAsia="Calibri" w:hAnsi="Cambria Math" w:cs="Times New Roman"/>
                <w:lang w:val="en-GB"/>
              </w:rPr>
              <m:t>G</m:t>
            </m:r>
          </m:e>
          <m:sub>
            <m:r>
              <w:rPr>
                <w:rFonts w:ascii="Cambria Math" w:eastAsia="Calibri" w:hAnsi="Cambria Math" w:cs="Times New Roman"/>
                <w:lang w:val="en-GB"/>
              </w:rPr>
              <m:t>S</m:t>
            </m:r>
          </m:sub>
        </m:sSub>
        <m:r>
          <w:rPr>
            <w:rFonts w:ascii="Cambria Math" w:eastAsia="Calibri" w:hAnsi="Cambria Math" w:cs="Times New Roman"/>
            <w:lang w:val="en-GB"/>
          </w:rPr>
          <m:t>)</m:t>
        </m:r>
      </m:oMath>
      <w:r w:rsidRPr="0009669D">
        <w:rPr>
          <w:lang w:val="en-GB"/>
        </w:rPr>
        <w:t xml:space="preserve"> and the growth of employees</w:t>
      </w:r>
      <w:r w:rsidR="0009669D" w:rsidRPr="0009669D">
        <w:rPr>
          <w:lang w:val="en-GB"/>
        </w:rPr>
        <w:t xml:space="preserve"> </w:t>
      </w:r>
      <w:r w:rsidR="00B94705" w:rsidRPr="0009669D">
        <w:rPr>
          <w:rFonts w:eastAsia="Calibri" w:cs="Times New Roman"/>
          <w:lang w:val="en-GB"/>
        </w:rPr>
        <w:t>(</w:t>
      </w:r>
      <m:oMath>
        <m:sSub>
          <m:sSubPr>
            <m:ctrlPr>
              <w:rPr>
                <w:rFonts w:ascii="Cambria Math" w:eastAsia="Calibri" w:hAnsi="Cambria Math" w:cs="Times New Roman"/>
                <w:i/>
                <w:lang w:val="en-GB"/>
              </w:rPr>
            </m:ctrlPr>
          </m:sSubPr>
          <m:e>
            <m:r>
              <w:rPr>
                <w:rFonts w:ascii="Cambria Math" w:eastAsia="Calibri" w:hAnsi="Cambria Math" w:cs="Times New Roman"/>
                <w:lang w:val="en-GB"/>
              </w:rPr>
              <m:t>G</m:t>
            </m:r>
          </m:e>
          <m:sub>
            <m:r>
              <w:rPr>
                <w:rFonts w:ascii="Cambria Math" w:eastAsia="Calibri" w:hAnsi="Cambria Math" w:cs="Times New Roman"/>
                <w:lang w:val="en-GB"/>
              </w:rPr>
              <m:t>emp</m:t>
            </m:r>
          </m:sub>
        </m:sSub>
      </m:oMath>
      <w:r w:rsidR="00B94705" w:rsidRPr="0009669D">
        <w:rPr>
          <w:rFonts w:eastAsia="Calibri" w:cs="Times New Roman"/>
          <w:lang w:val="en-GB"/>
        </w:rPr>
        <w:t>),</w:t>
      </w:r>
      <w:r w:rsidRPr="0009669D">
        <w:rPr>
          <w:lang w:val="en-GB"/>
        </w:rPr>
        <w:t xml:space="preserve"> in line with the studies of Delmar et al. (2013), Brenner &amp; </w:t>
      </w:r>
      <w:proofErr w:type="spellStart"/>
      <w:r w:rsidRPr="0009669D">
        <w:rPr>
          <w:lang w:val="en-GB"/>
        </w:rPr>
        <w:t>Schimke</w:t>
      </w:r>
      <w:proofErr w:type="spellEnd"/>
      <w:r w:rsidRPr="0009669D">
        <w:rPr>
          <w:lang w:val="en-GB"/>
        </w:rPr>
        <w:t xml:space="preserve"> (2015) and Simbaña et al. (2017). Now, the models are expressed as follows:</w:t>
      </w:r>
    </w:p>
    <w:p w14:paraId="07F8A5B1" w14:textId="5F06043C" w:rsidR="004D5892" w:rsidRPr="0009669D" w:rsidRDefault="00091A45" w:rsidP="0070319D">
      <w:pPr>
        <w:ind w:firstLine="708"/>
        <w:rPr>
          <w:lang w:val="en-GB"/>
        </w:rPr>
      </w:pPr>
      <w:r w:rsidRPr="0009669D">
        <w:rPr>
          <w:lang w:val="en-GB"/>
        </w:rPr>
        <w:t>Sales growth</w:t>
      </w:r>
    </w:p>
    <w:p w14:paraId="68F92D66" w14:textId="77777777" w:rsidR="004D5892" w:rsidRPr="0009669D" w:rsidRDefault="002D5BE5" w:rsidP="0070319D">
      <w:pPr>
        <w:spacing w:after="0"/>
        <w:ind w:firstLine="0"/>
        <w:jc w:val="center"/>
        <w:rPr>
          <w:color w:val="000000" w:themeColor="text1"/>
          <w:lang w:val="en-GB"/>
        </w:rPr>
      </w:pPr>
      <m:oMath>
        <m:sSub>
          <m:sSubPr>
            <m:ctrlPr>
              <w:rPr>
                <w:rFonts w:ascii="Cambria Math" w:hAnsi="Cambria Math"/>
                <w:i/>
                <w:color w:val="000000" w:themeColor="text1"/>
                <w:lang w:val="en-GB"/>
              </w:rPr>
            </m:ctrlPr>
          </m:sSubPr>
          <m:e>
            <m:r>
              <w:rPr>
                <w:rFonts w:ascii="Cambria Math" w:hAnsi="Cambria Math"/>
                <w:color w:val="000000" w:themeColor="text1"/>
                <w:lang w:val="en-GB"/>
              </w:rPr>
              <m:t>Gs</m:t>
            </m:r>
          </m:e>
          <m:sub>
            <m:r>
              <w:rPr>
                <w:rFonts w:ascii="Cambria Math" w:eastAsiaTheme="minorEastAsia" w:hAnsi="Cambria Math"/>
                <w:color w:val="000000" w:themeColor="text1"/>
                <w:lang w:val="en-GB"/>
              </w:rPr>
              <m:t>i,t</m:t>
            </m:r>
          </m:sub>
        </m:sSub>
        <m:r>
          <w:rPr>
            <w:rFonts w:ascii="Cambria Math" w:hAnsi="Cambria Math"/>
            <w:color w:val="000000" w:themeColor="text1"/>
            <w:lang w:val="en-GB"/>
          </w:rPr>
          <m:t>=</m:t>
        </m:r>
        <m:sSub>
          <m:sSubPr>
            <m:ctrlPr>
              <w:rPr>
                <w:rFonts w:ascii="Cambria Math" w:eastAsiaTheme="minorEastAsia" w:hAnsi="Cambria Math"/>
                <w:i/>
                <w:color w:val="000000" w:themeColor="text1"/>
                <w:lang w:val="en-GB"/>
              </w:rPr>
            </m:ctrlPr>
          </m:sSubPr>
          <m:e>
            <m:sSub>
              <m:sSubPr>
                <m:ctrlPr>
                  <w:rPr>
                    <w:rFonts w:ascii="Cambria Math" w:eastAsiaTheme="minorEastAsia" w:hAnsi="Cambria Math"/>
                    <w:i/>
                    <w:color w:val="000000" w:themeColor="text1"/>
                    <w:lang w:val="en-GB"/>
                  </w:rPr>
                </m:ctrlPr>
              </m:sSubPr>
              <m:e>
                <m:r>
                  <w:rPr>
                    <w:rFonts w:ascii="Cambria Math" w:eastAsiaTheme="minorEastAsia" w:hAnsi="Cambria Math"/>
                    <w:color w:val="000000" w:themeColor="text1"/>
                    <w:lang w:val="en-GB"/>
                  </w:rPr>
                  <m:t>β</m:t>
                </m:r>
              </m:e>
              <m:sub>
                <m:r>
                  <w:rPr>
                    <w:rFonts w:ascii="Cambria Math" w:eastAsiaTheme="minorEastAsia" w:hAnsi="Cambria Math"/>
                    <w:color w:val="000000" w:themeColor="text1"/>
                    <w:lang w:val="en-GB"/>
                  </w:rPr>
                  <m:t>1</m:t>
                </m:r>
              </m:sub>
            </m:sSub>
            <m:r>
              <w:rPr>
                <w:rFonts w:ascii="Cambria Math" w:eastAsiaTheme="minorEastAsia" w:hAnsi="Cambria Math"/>
                <w:color w:val="000000" w:themeColor="text1"/>
                <w:lang w:val="en-GB"/>
              </w:rPr>
              <m:t xml:space="preserve"> </m:t>
            </m:r>
            <m:r>
              <m:rPr>
                <m:sty m:val="p"/>
              </m:rPr>
              <w:rPr>
                <w:rFonts w:ascii="Cambria Math" w:eastAsiaTheme="minorEastAsia" w:hAnsi="Cambria Math"/>
                <w:color w:val="000000" w:themeColor="text1"/>
                <w:lang w:val="en-GB"/>
              </w:rPr>
              <m:t>ln⁡</m:t>
            </m:r>
            <m:r>
              <w:rPr>
                <w:rFonts w:ascii="Cambria Math" w:eastAsiaTheme="minorEastAsia" w:hAnsi="Cambria Math"/>
                <w:color w:val="000000" w:themeColor="text1"/>
                <w:lang w:val="en-GB"/>
              </w:rPr>
              <m:t>(s</m:t>
            </m:r>
          </m:e>
          <m:sub>
            <m:r>
              <w:rPr>
                <w:rFonts w:ascii="Cambria Math" w:eastAsiaTheme="minorEastAsia" w:hAnsi="Cambria Math"/>
                <w:color w:val="000000" w:themeColor="text1"/>
                <w:lang w:val="en-GB"/>
              </w:rPr>
              <m:t>i,t-1</m:t>
            </m:r>
          </m:sub>
        </m:sSub>
        <m:r>
          <w:rPr>
            <w:rFonts w:ascii="Cambria Math" w:eastAsiaTheme="minorEastAsia" w:hAnsi="Cambria Math"/>
            <w:color w:val="000000" w:themeColor="text1"/>
            <w:lang w:val="en-GB"/>
          </w:rPr>
          <m:t>)+</m:t>
        </m:r>
        <m:sSub>
          <m:sSubPr>
            <m:ctrlPr>
              <w:rPr>
                <w:rFonts w:ascii="Cambria Math" w:eastAsiaTheme="minorEastAsia" w:hAnsi="Cambria Math"/>
                <w:i/>
                <w:color w:val="000000" w:themeColor="text1"/>
                <w:lang w:val="en-GB"/>
              </w:rPr>
            </m:ctrlPr>
          </m:sSubPr>
          <m:e>
            <m:sSub>
              <m:sSubPr>
                <m:ctrlPr>
                  <w:rPr>
                    <w:rFonts w:ascii="Cambria Math" w:eastAsiaTheme="minorEastAsia" w:hAnsi="Cambria Math"/>
                    <w:i/>
                    <w:color w:val="000000" w:themeColor="text1"/>
                    <w:lang w:val="en-GB"/>
                  </w:rPr>
                </m:ctrlPr>
              </m:sSubPr>
              <m:e>
                <m:r>
                  <w:rPr>
                    <w:rFonts w:ascii="Cambria Math" w:eastAsiaTheme="minorEastAsia" w:hAnsi="Cambria Math"/>
                    <w:color w:val="000000" w:themeColor="text1"/>
                    <w:lang w:val="en-GB"/>
                  </w:rPr>
                  <m:t>β</m:t>
                </m:r>
              </m:e>
              <m:sub>
                <m:r>
                  <w:rPr>
                    <w:rFonts w:ascii="Cambria Math" w:eastAsiaTheme="minorEastAsia" w:hAnsi="Cambria Math"/>
                    <w:color w:val="000000" w:themeColor="text1"/>
                    <w:lang w:val="en-GB"/>
                  </w:rPr>
                  <m:t>2</m:t>
                </m:r>
              </m:sub>
            </m:sSub>
            <m:r>
              <w:rPr>
                <w:rFonts w:ascii="Cambria Math" w:eastAsiaTheme="minorEastAsia" w:hAnsi="Cambria Math"/>
                <w:color w:val="000000" w:themeColor="text1"/>
                <w:lang w:val="en-GB"/>
              </w:rPr>
              <m:t xml:space="preserve"> age</m:t>
            </m:r>
          </m:e>
          <m:sub>
            <m:r>
              <w:rPr>
                <w:rFonts w:ascii="Cambria Math" w:eastAsiaTheme="minorEastAsia" w:hAnsi="Cambria Math"/>
                <w:color w:val="000000" w:themeColor="text1"/>
                <w:lang w:val="en-GB"/>
              </w:rPr>
              <m:t>i,t</m:t>
            </m:r>
          </m:sub>
        </m:sSub>
        <m:r>
          <w:rPr>
            <w:rFonts w:ascii="Cambria Math" w:eastAsiaTheme="minorEastAsia" w:hAnsi="Cambria Math"/>
            <w:color w:val="000000" w:themeColor="text1"/>
            <w:lang w:val="en-GB"/>
          </w:rPr>
          <m:t>+</m:t>
        </m:r>
        <m:sSub>
          <m:sSubPr>
            <m:ctrlPr>
              <w:rPr>
                <w:rFonts w:ascii="Cambria Math" w:eastAsiaTheme="minorEastAsia" w:hAnsi="Cambria Math"/>
                <w:i/>
                <w:color w:val="000000" w:themeColor="text1"/>
                <w:lang w:val="en-GB"/>
              </w:rPr>
            </m:ctrlPr>
          </m:sSubPr>
          <m:e>
            <m:sSub>
              <m:sSubPr>
                <m:ctrlPr>
                  <w:rPr>
                    <w:rFonts w:ascii="Cambria Math" w:eastAsiaTheme="minorEastAsia" w:hAnsi="Cambria Math"/>
                    <w:i/>
                    <w:color w:val="000000" w:themeColor="text1"/>
                    <w:lang w:val="en-GB"/>
                  </w:rPr>
                </m:ctrlPr>
              </m:sSubPr>
              <m:e>
                <m:r>
                  <w:rPr>
                    <w:rFonts w:ascii="Cambria Math" w:eastAsiaTheme="minorEastAsia" w:hAnsi="Cambria Math"/>
                    <w:color w:val="000000" w:themeColor="text1"/>
                    <w:lang w:val="en-GB"/>
                  </w:rPr>
                  <m:t>β</m:t>
                </m:r>
              </m:e>
              <m:sub>
                <m:r>
                  <w:rPr>
                    <w:rFonts w:ascii="Cambria Math" w:eastAsiaTheme="minorEastAsia" w:hAnsi="Cambria Math"/>
                    <w:color w:val="000000" w:themeColor="text1"/>
                    <w:lang w:val="en-GB"/>
                  </w:rPr>
                  <m:t>3</m:t>
                </m:r>
              </m:sub>
            </m:sSub>
            <m:r>
              <w:rPr>
                <w:rFonts w:ascii="Cambria Math" w:eastAsiaTheme="minorEastAsia" w:hAnsi="Cambria Math"/>
                <w:color w:val="000000" w:themeColor="text1"/>
                <w:lang w:val="en-GB"/>
              </w:rPr>
              <m:t xml:space="preserve"> k</m:t>
            </m:r>
          </m:e>
          <m:sub>
            <m:r>
              <w:rPr>
                <w:rFonts w:ascii="Cambria Math" w:eastAsiaTheme="minorEastAsia" w:hAnsi="Cambria Math"/>
                <w:color w:val="000000" w:themeColor="text1"/>
                <w:lang w:val="en-GB"/>
              </w:rPr>
              <m:t>i,t</m:t>
            </m:r>
          </m:sub>
        </m:sSub>
        <m:r>
          <w:rPr>
            <w:rFonts w:ascii="Cambria Math" w:eastAsiaTheme="minorEastAsia" w:hAnsi="Cambria Math"/>
            <w:color w:val="000000" w:themeColor="text1"/>
            <w:lang w:val="en-GB"/>
          </w:rPr>
          <m:t>+</m:t>
        </m:r>
        <m:sSub>
          <m:sSubPr>
            <m:ctrlPr>
              <w:rPr>
                <w:rFonts w:ascii="Cambria Math" w:eastAsiaTheme="minorEastAsia" w:hAnsi="Cambria Math"/>
                <w:i/>
                <w:color w:val="000000" w:themeColor="text1"/>
                <w:lang w:val="en-GB"/>
              </w:rPr>
            </m:ctrlPr>
          </m:sSubPr>
          <m:e>
            <m:r>
              <w:rPr>
                <w:rFonts w:ascii="Cambria Math" w:eastAsiaTheme="minorEastAsia" w:hAnsi="Cambria Math"/>
                <w:color w:val="000000" w:themeColor="text1"/>
                <w:lang w:val="en-GB"/>
              </w:rPr>
              <m:t>µ</m:t>
            </m:r>
          </m:e>
          <m:sub>
            <m:r>
              <w:rPr>
                <w:rFonts w:ascii="Cambria Math" w:eastAsiaTheme="minorEastAsia" w:hAnsi="Cambria Math"/>
                <w:color w:val="000000" w:themeColor="text1"/>
                <w:lang w:val="en-GB"/>
              </w:rPr>
              <m:t>i,t</m:t>
            </m:r>
          </m:sub>
        </m:sSub>
      </m:oMath>
      <w:r w:rsidR="004D5892" w:rsidRPr="0009669D">
        <w:rPr>
          <w:color w:val="000000" w:themeColor="text1"/>
          <w:lang w:val="en-GB"/>
        </w:rPr>
        <w:t xml:space="preserve"> (1)</w:t>
      </w:r>
    </w:p>
    <w:p w14:paraId="3A4F8170" w14:textId="390D397E" w:rsidR="004D5892" w:rsidRPr="0009669D" w:rsidRDefault="00091A45" w:rsidP="0070319D">
      <w:pPr>
        <w:ind w:firstLine="708"/>
        <w:rPr>
          <w:lang w:val="en-GB"/>
        </w:rPr>
      </w:pPr>
      <w:r w:rsidRPr="0009669D">
        <w:rPr>
          <w:lang w:val="en-GB"/>
        </w:rPr>
        <w:t>Employment growth</w:t>
      </w:r>
    </w:p>
    <w:p w14:paraId="75528196" w14:textId="030862E0" w:rsidR="004D5892" w:rsidRPr="0009669D" w:rsidRDefault="002D5BE5" w:rsidP="0070319D">
      <w:pPr>
        <w:ind w:firstLine="0"/>
        <w:jc w:val="center"/>
        <w:rPr>
          <w:color w:val="000000" w:themeColor="text1"/>
          <w:lang w:val="en-GB"/>
        </w:rPr>
      </w:pPr>
      <m:oMath>
        <m:sSub>
          <m:sSubPr>
            <m:ctrlPr>
              <w:rPr>
                <w:rFonts w:ascii="Cambria Math" w:hAnsi="Cambria Math"/>
                <w:i/>
                <w:color w:val="000000" w:themeColor="text1"/>
                <w:lang w:val="en-GB"/>
              </w:rPr>
            </m:ctrlPr>
          </m:sSubPr>
          <m:e>
            <m:r>
              <w:rPr>
                <w:rFonts w:ascii="Cambria Math" w:hAnsi="Cambria Math"/>
                <w:color w:val="000000" w:themeColor="text1"/>
                <w:lang w:val="en-GB"/>
              </w:rPr>
              <m:t>Gemp</m:t>
            </m:r>
          </m:e>
          <m:sub>
            <m:r>
              <w:rPr>
                <w:rFonts w:ascii="Cambria Math" w:eastAsiaTheme="minorEastAsia" w:hAnsi="Cambria Math"/>
                <w:color w:val="000000" w:themeColor="text1"/>
                <w:lang w:val="en-GB"/>
              </w:rPr>
              <m:t>i,t</m:t>
            </m:r>
          </m:sub>
        </m:sSub>
        <m:r>
          <w:rPr>
            <w:rFonts w:ascii="Cambria Math" w:hAnsi="Cambria Math"/>
            <w:color w:val="000000" w:themeColor="text1"/>
            <w:lang w:val="en-GB"/>
          </w:rPr>
          <m:t>=</m:t>
        </m:r>
        <m:sSub>
          <m:sSubPr>
            <m:ctrlPr>
              <w:rPr>
                <w:rFonts w:ascii="Cambria Math" w:eastAsiaTheme="minorEastAsia" w:hAnsi="Cambria Math"/>
                <w:i/>
                <w:color w:val="000000" w:themeColor="text1"/>
                <w:lang w:val="en-GB"/>
              </w:rPr>
            </m:ctrlPr>
          </m:sSubPr>
          <m:e>
            <m:sSub>
              <m:sSubPr>
                <m:ctrlPr>
                  <w:rPr>
                    <w:rFonts w:ascii="Cambria Math" w:eastAsiaTheme="minorEastAsia" w:hAnsi="Cambria Math"/>
                    <w:i/>
                    <w:color w:val="000000" w:themeColor="text1"/>
                    <w:lang w:val="en-GB"/>
                  </w:rPr>
                </m:ctrlPr>
              </m:sSubPr>
              <m:e>
                <m:r>
                  <w:rPr>
                    <w:rFonts w:ascii="Cambria Math" w:eastAsiaTheme="minorEastAsia" w:hAnsi="Cambria Math"/>
                    <w:color w:val="000000" w:themeColor="text1"/>
                    <w:lang w:val="en-GB"/>
                  </w:rPr>
                  <m:t>β</m:t>
                </m:r>
              </m:e>
              <m:sub>
                <m:r>
                  <w:rPr>
                    <w:rFonts w:ascii="Cambria Math" w:eastAsiaTheme="minorEastAsia" w:hAnsi="Cambria Math"/>
                    <w:color w:val="000000" w:themeColor="text1"/>
                    <w:lang w:val="en-GB"/>
                  </w:rPr>
                  <m:t>1</m:t>
                </m:r>
              </m:sub>
            </m:sSub>
            <m:r>
              <w:rPr>
                <w:rFonts w:ascii="Cambria Math" w:eastAsiaTheme="minorEastAsia" w:hAnsi="Cambria Math"/>
                <w:color w:val="000000" w:themeColor="text1"/>
                <w:lang w:val="en-GB"/>
              </w:rPr>
              <m:t xml:space="preserve"> </m:t>
            </m:r>
            <m:r>
              <m:rPr>
                <m:sty m:val="p"/>
              </m:rPr>
              <w:rPr>
                <w:rFonts w:ascii="Cambria Math" w:eastAsiaTheme="minorEastAsia" w:hAnsi="Cambria Math"/>
                <w:color w:val="000000" w:themeColor="text1"/>
                <w:lang w:val="en-GB"/>
              </w:rPr>
              <m:t>ln⁡</m:t>
            </m:r>
            <m:r>
              <w:rPr>
                <w:rFonts w:ascii="Cambria Math" w:eastAsiaTheme="minorEastAsia" w:hAnsi="Cambria Math"/>
                <w:color w:val="000000" w:themeColor="text1"/>
                <w:lang w:val="en-GB"/>
              </w:rPr>
              <m:t>(emp</m:t>
            </m:r>
          </m:e>
          <m:sub>
            <m:r>
              <w:rPr>
                <w:rFonts w:ascii="Cambria Math" w:eastAsiaTheme="minorEastAsia" w:hAnsi="Cambria Math"/>
                <w:color w:val="000000" w:themeColor="text1"/>
                <w:lang w:val="en-GB"/>
              </w:rPr>
              <m:t>i,t-1</m:t>
            </m:r>
          </m:sub>
        </m:sSub>
        <m:r>
          <w:rPr>
            <w:rFonts w:ascii="Cambria Math" w:eastAsiaTheme="minorEastAsia" w:hAnsi="Cambria Math"/>
            <w:color w:val="000000" w:themeColor="text1"/>
            <w:lang w:val="en-GB"/>
          </w:rPr>
          <m:t>)+</m:t>
        </m:r>
        <m:sSub>
          <m:sSubPr>
            <m:ctrlPr>
              <w:rPr>
                <w:rFonts w:ascii="Cambria Math" w:eastAsiaTheme="minorEastAsia" w:hAnsi="Cambria Math"/>
                <w:i/>
                <w:color w:val="000000" w:themeColor="text1"/>
                <w:lang w:val="en-GB"/>
              </w:rPr>
            </m:ctrlPr>
          </m:sSubPr>
          <m:e>
            <m:sSub>
              <m:sSubPr>
                <m:ctrlPr>
                  <w:rPr>
                    <w:rFonts w:ascii="Cambria Math" w:eastAsiaTheme="minorEastAsia" w:hAnsi="Cambria Math"/>
                    <w:i/>
                    <w:color w:val="000000" w:themeColor="text1"/>
                    <w:lang w:val="en-GB"/>
                  </w:rPr>
                </m:ctrlPr>
              </m:sSubPr>
              <m:e>
                <m:r>
                  <w:rPr>
                    <w:rFonts w:ascii="Cambria Math" w:eastAsiaTheme="minorEastAsia" w:hAnsi="Cambria Math"/>
                    <w:color w:val="000000" w:themeColor="text1"/>
                    <w:lang w:val="en-GB"/>
                  </w:rPr>
                  <m:t>β</m:t>
                </m:r>
              </m:e>
              <m:sub>
                <m:r>
                  <w:rPr>
                    <w:rFonts w:ascii="Cambria Math" w:eastAsiaTheme="minorEastAsia" w:hAnsi="Cambria Math"/>
                    <w:color w:val="000000" w:themeColor="text1"/>
                    <w:lang w:val="en-GB"/>
                  </w:rPr>
                  <m:t>2</m:t>
                </m:r>
              </m:sub>
            </m:sSub>
            <m:r>
              <w:rPr>
                <w:rFonts w:ascii="Cambria Math" w:eastAsiaTheme="minorEastAsia" w:hAnsi="Cambria Math"/>
                <w:color w:val="000000" w:themeColor="text1"/>
                <w:lang w:val="en-GB"/>
              </w:rPr>
              <m:t xml:space="preserve"> age</m:t>
            </m:r>
          </m:e>
          <m:sub>
            <m:r>
              <w:rPr>
                <w:rFonts w:ascii="Cambria Math" w:eastAsiaTheme="minorEastAsia" w:hAnsi="Cambria Math"/>
                <w:color w:val="000000" w:themeColor="text1"/>
                <w:lang w:val="en-GB"/>
              </w:rPr>
              <m:t>i,t</m:t>
            </m:r>
          </m:sub>
        </m:sSub>
        <m:r>
          <w:rPr>
            <w:rFonts w:ascii="Cambria Math" w:eastAsiaTheme="minorEastAsia" w:hAnsi="Cambria Math"/>
            <w:color w:val="000000" w:themeColor="text1"/>
            <w:lang w:val="en-GB"/>
          </w:rPr>
          <m:t>+</m:t>
        </m:r>
        <m:sSub>
          <m:sSubPr>
            <m:ctrlPr>
              <w:rPr>
                <w:rFonts w:ascii="Cambria Math" w:eastAsiaTheme="minorEastAsia" w:hAnsi="Cambria Math"/>
                <w:i/>
                <w:color w:val="000000" w:themeColor="text1"/>
                <w:lang w:val="en-GB"/>
              </w:rPr>
            </m:ctrlPr>
          </m:sSubPr>
          <m:e>
            <m:sSub>
              <m:sSubPr>
                <m:ctrlPr>
                  <w:rPr>
                    <w:rFonts w:ascii="Cambria Math" w:eastAsiaTheme="minorEastAsia" w:hAnsi="Cambria Math"/>
                    <w:i/>
                    <w:color w:val="000000" w:themeColor="text1"/>
                    <w:lang w:val="en-GB"/>
                  </w:rPr>
                </m:ctrlPr>
              </m:sSubPr>
              <m:e>
                <m:r>
                  <w:rPr>
                    <w:rFonts w:ascii="Cambria Math" w:eastAsiaTheme="minorEastAsia" w:hAnsi="Cambria Math"/>
                    <w:color w:val="000000" w:themeColor="text1"/>
                    <w:lang w:val="en-GB"/>
                  </w:rPr>
                  <m:t>β</m:t>
                </m:r>
              </m:e>
              <m:sub>
                <m:r>
                  <w:rPr>
                    <w:rFonts w:ascii="Cambria Math" w:eastAsiaTheme="minorEastAsia" w:hAnsi="Cambria Math"/>
                    <w:color w:val="000000" w:themeColor="text1"/>
                    <w:lang w:val="en-GB"/>
                  </w:rPr>
                  <m:t>3</m:t>
                </m:r>
              </m:sub>
            </m:sSub>
            <m:r>
              <w:rPr>
                <w:rFonts w:ascii="Cambria Math" w:eastAsiaTheme="minorEastAsia" w:hAnsi="Cambria Math"/>
                <w:color w:val="000000" w:themeColor="text1"/>
                <w:lang w:val="en-GB"/>
              </w:rPr>
              <m:t xml:space="preserve"> k</m:t>
            </m:r>
          </m:e>
          <m:sub>
            <m:r>
              <w:rPr>
                <w:rFonts w:ascii="Cambria Math" w:eastAsiaTheme="minorEastAsia" w:hAnsi="Cambria Math"/>
                <w:color w:val="000000" w:themeColor="text1"/>
                <w:lang w:val="en-GB"/>
              </w:rPr>
              <m:t>i,t</m:t>
            </m:r>
          </m:sub>
        </m:sSub>
        <m:r>
          <w:rPr>
            <w:rFonts w:ascii="Cambria Math" w:eastAsiaTheme="minorEastAsia" w:hAnsi="Cambria Math"/>
            <w:color w:val="000000" w:themeColor="text1"/>
            <w:lang w:val="en-GB"/>
          </w:rPr>
          <m:t>+</m:t>
        </m:r>
        <m:sSub>
          <m:sSubPr>
            <m:ctrlPr>
              <w:rPr>
                <w:rFonts w:ascii="Cambria Math" w:eastAsiaTheme="minorEastAsia" w:hAnsi="Cambria Math"/>
                <w:i/>
                <w:color w:val="000000" w:themeColor="text1"/>
                <w:lang w:val="en-GB"/>
              </w:rPr>
            </m:ctrlPr>
          </m:sSubPr>
          <m:e>
            <m:r>
              <w:rPr>
                <w:rFonts w:ascii="Cambria Math" w:eastAsiaTheme="minorEastAsia" w:hAnsi="Cambria Math"/>
                <w:color w:val="000000" w:themeColor="text1"/>
                <w:lang w:val="en-GB"/>
              </w:rPr>
              <m:t>µ</m:t>
            </m:r>
          </m:e>
          <m:sub>
            <m:r>
              <w:rPr>
                <w:rFonts w:ascii="Cambria Math" w:eastAsiaTheme="minorEastAsia" w:hAnsi="Cambria Math"/>
                <w:color w:val="000000" w:themeColor="text1"/>
                <w:lang w:val="en-GB"/>
              </w:rPr>
              <m:t>i,t</m:t>
            </m:r>
          </m:sub>
        </m:sSub>
      </m:oMath>
      <w:r w:rsidR="004D5892" w:rsidRPr="0009669D">
        <w:rPr>
          <w:i/>
          <w:color w:val="000000" w:themeColor="text1"/>
          <w:lang w:val="en-GB"/>
        </w:rPr>
        <w:t xml:space="preserve"> </w:t>
      </w:r>
      <w:r w:rsidR="004D5892" w:rsidRPr="0009669D">
        <w:rPr>
          <w:color w:val="000000" w:themeColor="text1"/>
          <w:lang w:val="en-GB"/>
        </w:rPr>
        <w:t>(2)</w:t>
      </w:r>
    </w:p>
    <w:p w14:paraId="5EBEA533" w14:textId="3044E384" w:rsidR="00293848" w:rsidRPr="0009669D" w:rsidRDefault="00293848" w:rsidP="0070319D">
      <w:pPr>
        <w:ind w:firstLine="0"/>
        <w:rPr>
          <w:color w:val="000000" w:themeColor="text1"/>
          <w:lang w:val="en-GB"/>
        </w:rPr>
      </w:pPr>
      <w:r w:rsidRPr="0009669D">
        <w:rPr>
          <w:lang w:val="en-GB"/>
        </w:rPr>
        <w:t xml:space="preserve">Where </w:t>
      </w:r>
      <m:oMath>
        <m:sSub>
          <m:sSubPr>
            <m:ctrlPr>
              <w:rPr>
                <w:rFonts w:ascii="Cambria Math" w:eastAsia="Calibri" w:hAnsi="Cambria Math" w:cs="Times New Roman"/>
                <w:i/>
                <w:color w:val="000000"/>
                <w:lang w:val="en-GB"/>
              </w:rPr>
            </m:ctrlPr>
          </m:sSubPr>
          <m:e>
            <m:r>
              <w:rPr>
                <w:rFonts w:ascii="Cambria Math" w:eastAsia="Calibri" w:hAnsi="Cambria Math" w:cs="Times New Roman"/>
                <w:color w:val="000000"/>
                <w:lang w:val="en-GB"/>
              </w:rPr>
              <m:t>Gs</m:t>
            </m:r>
          </m:e>
          <m:sub>
            <m:r>
              <w:rPr>
                <w:rFonts w:ascii="Cambria Math" w:eastAsia="MS Mincho" w:hAnsi="Cambria Math" w:cs="Times New Roman"/>
                <w:color w:val="000000"/>
                <w:lang w:val="en-GB"/>
              </w:rPr>
              <m:t>i,t</m:t>
            </m:r>
          </m:sub>
        </m:sSub>
      </m:oMath>
      <w:r w:rsidR="00B94705" w:rsidRPr="0009669D">
        <w:rPr>
          <w:rFonts w:eastAsia="Calibri" w:cs="Times New Roman"/>
          <w:color w:val="000000"/>
          <w:lang w:val="en-GB"/>
        </w:rPr>
        <w:t xml:space="preserve"> </w:t>
      </w:r>
      <w:r w:rsidRPr="0009669D">
        <w:rPr>
          <w:lang w:val="en-GB"/>
        </w:rPr>
        <w:t xml:space="preserve">represents the growth of sales and </w:t>
      </w:r>
      <m:oMath>
        <m:sSub>
          <m:sSubPr>
            <m:ctrlPr>
              <w:rPr>
                <w:rFonts w:ascii="Cambria Math" w:eastAsia="Calibri" w:hAnsi="Cambria Math" w:cs="Times New Roman"/>
                <w:i/>
                <w:color w:val="000000"/>
                <w:lang w:val="en-GB"/>
              </w:rPr>
            </m:ctrlPr>
          </m:sSubPr>
          <m:e>
            <m:r>
              <w:rPr>
                <w:rFonts w:ascii="Cambria Math" w:eastAsia="Calibri" w:hAnsi="Cambria Math" w:cs="Times New Roman"/>
                <w:color w:val="000000"/>
                <w:lang w:val="en-GB"/>
              </w:rPr>
              <m:t>Gemp</m:t>
            </m:r>
          </m:e>
          <m:sub>
            <m:r>
              <w:rPr>
                <w:rFonts w:ascii="Cambria Math" w:eastAsia="MS Mincho" w:hAnsi="Cambria Math" w:cs="Times New Roman"/>
                <w:color w:val="000000"/>
                <w:lang w:val="en-GB"/>
              </w:rPr>
              <m:t>i,t</m:t>
            </m:r>
          </m:sub>
        </m:sSub>
      </m:oMath>
      <w:r w:rsidR="00B94705" w:rsidRPr="0009669D">
        <w:rPr>
          <w:rFonts w:eastAsia="Calibri" w:cs="Times New Roman"/>
          <w:color w:val="000000"/>
          <w:lang w:val="en-GB"/>
        </w:rPr>
        <w:t xml:space="preserve"> </w:t>
      </w:r>
      <w:r w:rsidRPr="0009669D">
        <w:rPr>
          <w:lang w:val="en-GB"/>
        </w:rPr>
        <w:t xml:space="preserve">the growth of the number of employees (logarithmic annual size difference), of company </w:t>
      </w:r>
      <w:r w:rsidRPr="0009669D">
        <w:rPr>
          <w:i/>
          <w:lang w:val="en-GB"/>
        </w:rPr>
        <w:t>i</w:t>
      </w:r>
      <w:r w:rsidRPr="0009669D">
        <w:rPr>
          <w:lang w:val="en-GB"/>
        </w:rPr>
        <w:t xml:space="preserve"> in period </w:t>
      </w:r>
      <w:r w:rsidRPr="0009669D">
        <w:rPr>
          <w:i/>
          <w:lang w:val="en-GB"/>
        </w:rPr>
        <w:t>t</w:t>
      </w:r>
      <w:r w:rsidRPr="0009669D">
        <w:rPr>
          <w:lang w:val="en-GB"/>
        </w:rPr>
        <w:t xml:space="preserve">, which represent the dependent variables of each proposed model. While the </w:t>
      </w:r>
      <w:r w:rsidRPr="0009669D">
        <w:rPr>
          <w:i/>
          <w:lang w:val="en-GB"/>
        </w:rPr>
        <w:t>β</w:t>
      </w:r>
      <w:r w:rsidRPr="0009669D">
        <w:rPr>
          <w:lang w:val="en-GB"/>
        </w:rPr>
        <w:t xml:space="preserve"> of the size delayed a period, it allows to verify the compliance or not of the Gibrat's law (</w:t>
      </w:r>
      <w:r w:rsidRPr="0009669D">
        <w:rPr>
          <w:i/>
          <w:lang w:val="en-GB"/>
        </w:rPr>
        <w:t>β</w:t>
      </w:r>
      <w:r w:rsidRPr="0009669D">
        <w:rPr>
          <w:lang w:val="en-GB"/>
        </w:rPr>
        <w:t xml:space="preserve"> = 0 the law is fulfilled; </w:t>
      </w:r>
      <w:r w:rsidRPr="0009669D">
        <w:rPr>
          <w:i/>
          <w:lang w:val="en-GB"/>
        </w:rPr>
        <w:t>β</w:t>
      </w:r>
      <w:r w:rsidRPr="0009669D">
        <w:rPr>
          <w:lang w:val="en-GB"/>
        </w:rPr>
        <w:t xml:space="preserve"> ≠ 0 is not fulfilled). </w:t>
      </w:r>
      <w:r w:rsidRPr="0009669D">
        <w:rPr>
          <w:color w:val="000000" w:themeColor="text1"/>
          <w:lang w:val="en-GB"/>
        </w:rPr>
        <w:t xml:space="preserve">Whereas </w:t>
      </w:r>
      <m:oMath>
        <m:sSub>
          <m:sSubPr>
            <m:ctrlPr>
              <w:rPr>
                <w:rFonts w:ascii="Cambria Math" w:eastAsia="MS Mincho" w:hAnsi="Cambria Math" w:cs="Times New Roman"/>
                <w:i/>
                <w:color w:val="000000"/>
                <w:lang w:val="en-GB"/>
              </w:rPr>
            </m:ctrlPr>
          </m:sSubPr>
          <m:e>
            <m:r>
              <w:rPr>
                <w:rFonts w:ascii="Cambria Math" w:eastAsia="MS Mincho" w:hAnsi="Cambria Math" w:cs="Times New Roman"/>
                <w:color w:val="000000"/>
                <w:lang w:val="en-GB"/>
              </w:rPr>
              <m:t>µ</m:t>
            </m:r>
          </m:e>
          <m:sub>
            <m:r>
              <w:rPr>
                <w:rFonts w:ascii="Cambria Math" w:eastAsia="MS Mincho" w:hAnsi="Cambria Math" w:cs="Times New Roman"/>
                <w:color w:val="000000"/>
                <w:lang w:val="en-GB"/>
              </w:rPr>
              <m:t>i,t</m:t>
            </m:r>
          </m:sub>
        </m:sSub>
      </m:oMath>
      <w:r w:rsidR="00EA2491" w:rsidRPr="0009669D">
        <w:rPr>
          <w:rFonts w:eastAsia="Calibri" w:cs="Times New Roman"/>
          <w:color w:val="000000"/>
          <w:lang w:val="en-GB"/>
        </w:rPr>
        <w:t xml:space="preserve"> </w:t>
      </w:r>
      <w:r w:rsidRPr="0009669D">
        <w:rPr>
          <w:color w:val="000000" w:themeColor="text1"/>
          <w:lang w:val="en-GB"/>
        </w:rPr>
        <w:t xml:space="preserve">is the error term that is extracted in the following way: </w:t>
      </w:r>
      <m:oMath>
        <m:sSub>
          <m:sSubPr>
            <m:ctrlPr>
              <w:rPr>
                <w:rFonts w:ascii="Cambria Math" w:eastAsia="MS Mincho" w:hAnsi="Cambria Math" w:cs="Times New Roman"/>
                <w:i/>
                <w:color w:val="000000"/>
                <w:lang w:val="en-GB"/>
              </w:rPr>
            </m:ctrlPr>
          </m:sSubPr>
          <m:e>
            <m:r>
              <w:rPr>
                <w:rFonts w:ascii="Cambria Math" w:eastAsia="MS Mincho" w:hAnsi="Cambria Math" w:cs="Times New Roman"/>
                <w:color w:val="000000"/>
                <w:lang w:val="en-GB"/>
              </w:rPr>
              <m:t>µ</m:t>
            </m:r>
          </m:e>
          <m:sub>
            <m:r>
              <w:rPr>
                <w:rFonts w:ascii="Cambria Math" w:eastAsia="MS Mincho" w:hAnsi="Cambria Math" w:cs="Times New Roman"/>
                <w:color w:val="000000"/>
                <w:lang w:val="en-GB"/>
              </w:rPr>
              <m:t>i,t</m:t>
            </m:r>
          </m:sub>
        </m:sSub>
        <m:r>
          <w:rPr>
            <w:rFonts w:ascii="Cambria Math" w:eastAsia="MS Mincho" w:hAnsi="Cambria Math" w:cs="Times New Roman"/>
            <w:color w:val="000000"/>
            <w:lang w:val="en-GB"/>
          </w:rPr>
          <m:t>=</m:t>
        </m:r>
        <m:sSub>
          <m:sSubPr>
            <m:ctrlPr>
              <w:rPr>
                <w:rFonts w:ascii="Cambria Math" w:eastAsia="MS Mincho" w:hAnsi="Cambria Math" w:cs="Times New Roman"/>
                <w:i/>
                <w:color w:val="000000"/>
                <w:lang w:val="en-GB"/>
              </w:rPr>
            </m:ctrlPr>
          </m:sSubPr>
          <m:e>
            <m:r>
              <w:rPr>
                <w:rFonts w:ascii="Cambria Math" w:eastAsia="MS Mincho" w:hAnsi="Cambria Math" w:cs="Times New Roman"/>
                <w:color w:val="000000"/>
                <w:lang w:val="en-GB"/>
              </w:rPr>
              <m:t>Ƞ</m:t>
            </m:r>
          </m:e>
          <m:sub>
            <m:r>
              <w:rPr>
                <w:rFonts w:ascii="Cambria Math" w:eastAsia="MS Mincho" w:hAnsi="Cambria Math" w:cs="Times New Roman"/>
                <w:color w:val="000000"/>
                <w:lang w:val="en-GB"/>
              </w:rPr>
              <m:t>i</m:t>
            </m:r>
          </m:sub>
        </m:sSub>
        <m:r>
          <w:rPr>
            <w:rFonts w:ascii="Cambria Math" w:eastAsia="MS Mincho" w:hAnsi="Cambria Math" w:cs="Times New Roman"/>
            <w:color w:val="000000"/>
            <w:lang w:val="en-GB"/>
          </w:rPr>
          <m:t>+</m:t>
        </m:r>
        <m:sSub>
          <m:sSubPr>
            <m:ctrlPr>
              <w:rPr>
                <w:rFonts w:ascii="Cambria Math" w:eastAsia="MS Mincho" w:hAnsi="Cambria Math" w:cs="Times New Roman"/>
                <w:i/>
                <w:color w:val="000000"/>
                <w:lang w:val="en-GB"/>
              </w:rPr>
            </m:ctrlPr>
          </m:sSubPr>
          <m:e>
            <m:r>
              <w:rPr>
                <w:rFonts w:ascii="Cambria Math" w:eastAsia="MS Mincho" w:hAnsi="Cambria Math" w:cs="Times New Roman"/>
                <w:color w:val="000000"/>
                <w:lang w:val="en-GB"/>
              </w:rPr>
              <m:t>ℷ</m:t>
            </m:r>
          </m:e>
          <m:sub>
            <m:r>
              <w:rPr>
                <w:rFonts w:ascii="Cambria Math" w:eastAsia="MS Mincho" w:hAnsi="Cambria Math" w:cs="Times New Roman"/>
                <w:color w:val="000000"/>
                <w:lang w:val="en-GB"/>
              </w:rPr>
              <m:t>i</m:t>
            </m:r>
          </m:sub>
        </m:sSub>
        <m:r>
          <w:rPr>
            <w:rFonts w:ascii="Cambria Math" w:eastAsia="MS Mincho" w:hAnsi="Cambria Math" w:cs="Times New Roman"/>
            <w:color w:val="000000"/>
            <w:lang w:val="en-GB"/>
          </w:rPr>
          <m:t>+</m:t>
        </m:r>
        <m:sSub>
          <m:sSubPr>
            <m:ctrlPr>
              <w:rPr>
                <w:rFonts w:ascii="Cambria Math" w:eastAsia="MS Mincho" w:hAnsi="Cambria Math" w:cs="Times New Roman"/>
                <w:i/>
                <w:color w:val="000000"/>
                <w:lang w:val="en-GB"/>
              </w:rPr>
            </m:ctrlPr>
          </m:sSubPr>
          <m:e>
            <m:r>
              <w:rPr>
                <w:rFonts w:ascii="Cambria Math" w:eastAsia="MS Mincho" w:hAnsi="Cambria Math" w:cs="Times New Roman"/>
                <w:color w:val="000000"/>
                <w:lang w:val="en-GB"/>
              </w:rPr>
              <m:t>v</m:t>
            </m:r>
          </m:e>
          <m:sub>
            <m:r>
              <w:rPr>
                <w:rFonts w:ascii="Cambria Math" w:eastAsia="MS Mincho" w:hAnsi="Cambria Math" w:cs="Times New Roman"/>
                <w:color w:val="000000"/>
                <w:lang w:val="en-GB"/>
              </w:rPr>
              <m:t>i</m:t>
            </m:r>
          </m:sub>
        </m:sSub>
        <m:r>
          <w:rPr>
            <w:rFonts w:ascii="Cambria Math" w:eastAsia="MS Mincho" w:hAnsi="Cambria Math" w:cs="Times New Roman"/>
            <w:color w:val="000000"/>
            <w:lang w:val="en-GB"/>
          </w:rPr>
          <m:t xml:space="preserve"> </m:t>
        </m:r>
      </m:oMath>
      <w:r w:rsidRPr="0009669D">
        <w:rPr>
          <w:color w:val="000000" w:themeColor="text1"/>
          <w:lang w:val="en-GB"/>
        </w:rPr>
        <w:t xml:space="preserve">where </w:t>
      </w:r>
      <m:oMath>
        <m:sSub>
          <m:sSubPr>
            <m:ctrlPr>
              <w:rPr>
                <w:rFonts w:ascii="Cambria Math" w:eastAsia="MS Mincho" w:hAnsi="Cambria Math" w:cs="Times New Roman"/>
                <w:i/>
                <w:color w:val="000000"/>
                <w:lang w:val="en-GB"/>
              </w:rPr>
            </m:ctrlPr>
          </m:sSubPr>
          <m:e>
            <m:r>
              <w:rPr>
                <w:rFonts w:ascii="Cambria Math" w:eastAsia="MS Mincho" w:hAnsi="Cambria Math" w:cs="Times New Roman"/>
                <w:color w:val="000000"/>
                <w:lang w:val="en-GB"/>
              </w:rPr>
              <m:t>Ƞ</m:t>
            </m:r>
          </m:e>
          <m:sub>
            <m:r>
              <w:rPr>
                <w:rFonts w:ascii="Cambria Math" w:eastAsia="MS Mincho" w:hAnsi="Cambria Math" w:cs="Times New Roman"/>
                <w:color w:val="000000"/>
                <w:lang w:val="en-GB"/>
              </w:rPr>
              <m:t>i</m:t>
            </m:r>
          </m:sub>
        </m:sSub>
      </m:oMath>
      <w:r w:rsidR="00EA2491" w:rsidRPr="0009669D">
        <w:rPr>
          <w:rFonts w:eastAsia="Calibri" w:cs="Times New Roman"/>
          <w:color w:val="000000"/>
          <w:lang w:val="en-GB"/>
        </w:rPr>
        <w:t xml:space="preserve"> </w:t>
      </w:r>
      <w:r w:rsidRPr="0009669D">
        <w:rPr>
          <w:color w:val="000000" w:themeColor="text1"/>
          <w:lang w:val="en-GB"/>
        </w:rPr>
        <w:t xml:space="preserve">symbolizes the part of the specific error of the subject (unobservable heterogeneity) that agglomerates the unobservable data that only affects the company </w:t>
      </w:r>
      <m:oMath>
        <m:r>
          <w:rPr>
            <w:rFonts w:ascii="Cambria Math" w:eastAsia="Calibri" w:hAnsi="Cambria Math" w:cs="Times New Roman"/>
            <w:color w:val="000000"/>
            <w:lang w:val="en-GB"/>
          </w:rPr>
          <m:t>t</m:t>
        </m:r>
      </m:oMath>
      <w:r w:rsidR="00EA2491" w:rsidRPr="0009669D">
        <w:rPr>
          <w:rFonts w:eastAsia="Calibri" w:cs="Times New Roman"/>
          <w:color w:val="000000"/>
          <w:lang w:val="en-GB"/>
        </w:rPr>
        <w:t xml:space="preserve">. </w:t>
      </w:r>
      <m:oMath>
        <m:sSub>
          <m:sSubPr>
            <m:ctrlPr>
              <w:rPr>
                <w:rFonts w:ascii="Cambria Math" w:eastAsia="MS Mincho" w:hAnsi="Cambria Math" w:cs="Times New Roman"/>
                <w:i/>
                <w:color w:val="000000"/>
                <w:lang w:val="en-GB"/>
              </w:rPr>
            </m:ctrlPr>
          </m:sSubPr>
          <m:e>
            <m:r>
              <w:rPr>
                <w:rFonts w:ascii="Cambria Math" w:eastAsia="MS Mincho" w:hAnsi="Cambria Math" w:cs="Times New Roman"/>
                <w:color w:val="000000"/>
                <w:lang w:val="en-GB"/>
              </w:rPr>
              <m:t>ℷ</m:t>
            </m:r>
          </m:e>
          <m:sub>
            <m:r>
              <w:rPr>
                <w:rFonts w:ascii="Cambria Math" w:eastAsia="MS Mincho" w:hAnsi="Cambria Math" w:cs="Times New Roman"/>
                <w:color w:val="000000"/>
                <w:lang w:val="en-GB"/>
              </w:rPr>
              <m:t>i</m:t>
            </m:r>
          </m:sub>
        </m:sSub>
      </m:oMath>
      <w:r w:rsidRPr="0009669D">
        <w:rPr>
          <w:color w:val="000000" w:themeColor="text1"/>
          <w:lang w:val="en-GB"/>
        </w:rPr>
        <w:t xml:space="preserve"> </w:t>
      </w:r>
      <w:proofErr w:type="gramStart"/>
      <w:r w:rsidRPr="0009669D">
        <w:rPr>
          <w:color w:val="000000" w:themeColor="text1"/>
          <w:lang w:val="en-GB"/>
        </w:rPr>
        <w:t>represents</w:t>
      </w:r>
      <w:proofErr w:type="gramEnd"/>
      <w:r w:rsidRPr="0009669D">
        <w:rPr>
          <w:color w:val="000000" w:themeColor="text1"/>
          <w:lang w:val="en-GB"/>
        </w:rPr>
        <w:t xml:space="preserve"> the shocks that occur at time </w:t>
      </w:r>
      <w:r w:rsidRPr="0009669D">
        <w:rPr>
          <w:i/>
          <w:color w:val="000000" w:themeColor="text1"/>
          <w:lang w:val="en-GB"/>
        </w:rPr>
        <w:t>t</w:t>
      </w:r>
      <w:r w:rsidRPr="0009669D">
        <w:rPr>
          <w:color w:val="000000" w:themeColor="text1"/>
          <w:lang w:val="en-GB"/>
        </w:rPr>
        <w:t xml:space="preserve"> affecting all subjects equally, finally </w:t>
      </w:r>
      <m:oMath>
        <m:sSub>
          <m:sSubPr>
            <m:ctrlPr>
              <w:rPr>
                <w:rFonts w:ascii="Cambria Math" w:eastAsia="MS Mincho" w:hAnsi="Cambria Math" w:cs="Times New Roman"/>
                <w:i/>
                <w:color w:val="000000"/>
                <w:lang w:val="en-GB"/>
              </w:rPr>
            </m:ctrlPr>
          </m:sSubPr>
          <m:e>
            <m:r>
              <w:rPr>
                <w:rFonts w:ascii="Cambria Math" w:eastAsia="MS Mincho" w:hAnsi="Cambria Math" w:cs="Times New Roman"/>
                <w:color w:val="000000"/>
                <w:lang w:val="en-GB"/>
              </w:rPr>
              <m:t>v</m:t>
            </m:r>
          </m:e>
          <m:sub>
            <m:r>
              <w:rPr>
                <w:rFonts w:ascii="Cambria Math" w:eastAsia="MS Mincho" w:hAnsi="Cambria Math" w:cs="Times New Roman"/>
                <w:color w:val="000000"/>
                <w:lang w:val="en-GB"/>
              </w:rPr>
              <m:t>i</m:t>
            </m:r>
          </m:sub>
        </m:sSub>
      </m:oMath>
      <w:r w:rsidR="00EA2491" w:rsidRPr="0009669D">
        <w:rPr>
          <w:rFonts w:eastAsia="Calibri" w:cs="Times New Roman"/>
          <w:color w:val="000000"/>
          <w:lang w:val="en-GB"/>
        </w:rPr>
        <w:t xml:space="preserve"> </w:t>
      </w:r>
      <w:r w:rsidRPr="0009669D">
        <w:rPr>
          <w:color w:val="000000" w:themeColor="text1"/>
          <w:lang w:val="en-GB"/>
        </w:rPr>
        <w:t>identifies the random disturbance (</w:t>
      </w:r>
      <w:proofErr w:type="spellStart"/>
      <w:r w:rsidRPr="0009669D">
        <w:rPr>
          <w:color w:val="000000" w:themeColor="text1"/>
          <w:lang w:val="en-GB"/>
        </w:rPr>
        <w:t>Miralles</w:t>
      </w:r>
      <w:proofErr w:type="spellEnd"/>
      <w:r w:rsidRPr="0009669D">
        <w:rPr>
          <w:color w:val="000000" w:themeColor="text1"/>
          <w:lang w:val="en-GB"/>
        </w:rPr>
        <w:t xml:space="preserve"> et al., 2017).</w:t>
      </w:r>
    </w:p>
    <w:p w14:paraId="129161D8" w14:textId="4F14AA5A" w:rsidR="00277E6E" w:rsidRPr="0009669D" w:rsidRDefault="002C6E95" w:rsidP="002C6E95">
      <w:pPr>
        <w:pStyle w:val="Prrafodelista"/>
        <w:numPr>
          <w:ilvl w:val="0"/>
          <w:numId w:val="19"/>
        </w:numPr>
        <w:spacing w:after="0"/>
        <w:rPr>
          <w:b/>
          <w:lang w:val="en-GB"/>
        </w:rPr>
      </w:pPr>
      <w:r w:rsidRPr="0009669D">
        <w:rPr>
          <w:b/>
          <w:lang w:val="en-GB"/>
        </w:rPr>
        <w:t>EMPIRICAL RESULTS</w:t>
      </w:r>
    </w:p>
    <w:p w14:paraId="498359B1" w14:textId="77777777" w:rsidR="002C6E95" w:rsidRPr="0009669D" w:rsidRDefault="002C6E95" w:rsidP="002C6E95">
      <w:pPr>
        <w:spacing w:after="0"/>
        <w:rPr>
          <w:b/>
          <w:lang w:val="en-GB"/>
        </w:rPr>
      </w:pPr>
    </w:p>
    <w:p w14:paraId="38665BD9" w14:textId="76CCB32B" w:rsidR="00277E6E" w:rsidRPr="0009669D" w:rsidRDefault="002C6E95" w:rsidP="0070319D">
      <w:pPr>
        <w:pStyle w:val="Prrafodelista"/>
        <w:numPr>
          <w:ilvl w:val="1"/>
          <w:numId w:val="19"/>
        </w:numPr>
        <w:spacing w:after="0"/>
        <w:rPr>
          <w:b/>
          <w:lang w:val="en-GB"/>
        </w:rPr>
      </w:pPr>
      <w:r w:rsidRPr="0009669D">
        <w:rPr>
          <w:b/>
          <w:lang w:val="en-GB"/>
        </w:rPr>
        <w:t>Univariate analysis</w:t>
      </w:r>
    </w:p>
    <w:p w14:paraId="5A0E6F32" w14:textId="77777777" w:rsidR="002C6E95" w:rsidRPr="0009669D" w:rsidRDefault="002C6E95" w:rsidP="0070319D">
      <w:pPr>
        <w:spacing w:after="0"/>
        <w:rPr>
          <w:b/>
          <w:lang w:val="en-GB"/>
        </w:rPr>
      </w:pPr>
    </w:p>
    <w:p w14:paraId="4E3CDA63" w14:textId="77777777" w:rsidR="00955C9D" w:rsidRPr="0009669D" w:rsidRDefault="002C6E95" w:rsidP="0070319D">
      <w:pPr>
        <w:ind w:firstLine="0"/>
        <w:rPr>
          <w:lang w:val="en-GB"/>
        </w:rPr>
      </w:pPr>
      <w:r w:rsidRPr="0009669D">
        <w:rPr>
          <w:lang w:val="en-GB"/>
        </w:rPr>
        <w:t>As a first analysis, Kernel density estimation of the growth rate measured through sales and the number of employees is performed, which are presented in figures 1 and 2 respectively. The density of the general sample presents the traditional bell shape (Coad &amp; Rao, 2008). It can be seen that the distribution of growth in manufacturing companies is not normally distributed as shown in figures 1 and 2 (</w:t>
      </w:r>
      <w:proofErr w:type="spellStart"/>
      <w:r w:rsidRPr="0009669D">
        <w:rPr>
          <w:lang w:val="en-GB"/>
        </w:rPr>
        <w:t>Demirel</w:t>
      </w:r>
      <w:proofErr w:type="spellEnd"/>
      <w:r w:rsidRPr="0009669D">
        <w:rPr>
          <w:lang w:val="en-GB"/>
        </w:rPr>
        <w:t xml:space="preserve"> &amp; </w:t>
      </w:r>
      <w:proofErr w:type="spellStart"/>
      <w:r w:rsidRPr="0009669D">
        <w:rPr>
          <w:lang w:val="en-GB"/>
        </w:rPr>
        <w:t>Mazzucato</w:t>
      </w:r>
      <w:proofErr w:type="spellEnd"/>
      <w:r w:rsidRPr="0009669D">
        <w:rPr>
          <w:lang w:val="en-GB"/>
        </w:rPr>
        <w:t xml:space="preserve">, 2010). </w:t>
      </w:r>
      <w:r w:rsidR="00955C9D" w:rsidRPr="0009669D">
        <w:rPr>
          <w:lang w:val="en-GB"/>
        </w:rPr>
        <w:t>In addition, an excessive concentration of density is observed in the central values (</w:t>
      </w:r>
      <w:proofErr w:type="spellStart"/>
      <w:r w:rsidR="00955C9D" w:rsidRPr="0009669D">
        <w:rPr>
          <w:lang w:val="en-GB"/>
        </w:rPr>
        <w:t>leptocurtic</w:t>
      </w:r>
      <w:proofErr w:type="spellEnd"/>
      <w:r w:rsidR="00955C9D" w:rsidRPr="0009669D">
        <w:rPr>
          <w:lang w:val="en-GB"/>
        </w:rPr>
        <w:t>), which are higher than those that would correspond to a theoretical log-normal distribution (González-Val et al., 2014). This fact is not consistent with the hypothesis that the size of companies is the result of a process of stochastic growth (Oliveira &amp; Fortunato, 2003).</w:t>
      </w:r>
    </w:p>
    <w:p w14:paraId="75210018" w14:textId="77777777" w:rsidR="00415057" w:rsidRPr="0009669D" w:rsidRDefault="00415057" w:rsidP="00415057">
      <w:pPr>
        <w:keepNext/>
        <w:spacing w:before="120" w:after="120" w:line="276" w:lineRule="auto"/>
        <w:jc w:val="center"/>
        <w:rPr>
          <w:rFonts w:eastAsia="Calibri" w:cs="Times New Roman"/>
          <w:b/>
          <w:sz w:val="20"/>
          <w:lang w:val="en-GB"/>
        </w:rPr>
      </w:pPr>
      <w:r w:rsidRPr="0009669D">
        <w:rPr>
          <w:rFonts w:eastAsia="Calibri" w:cs="Times New Roman"/>
          <w:b/>
          <w:sz w:val="20"/>
          <w:lang w:val="en-GB"/>
        </w:rPr>
        <w:lastRenderedPageBreak/>
        <w:t xml:space="preserve">Figure </w:t>
      </w:r>
      <w:r w:rsidRPr="0009669D">
        <w:rPr>
          <w:rFonts w:eastAsia="Calibri" w:cs="Times New Roman"/>
          <w:b/>
          <w:noProof/>
          <w:sz w:val="20"/>
          <w:lang w:val="en-GB"/>
        </w:rPr>
        <w:t>1</w:t>
      </w:r>
      <w:r w:rsidRPr="0009669D">
        <w:rPr>
          <w:rFonts w:eastAsia="Calibri" w:cs="Times New Roman"/>
          <w:b/>
          <w:sz w:val="20"/>
          <w:lang w:val="en-GB"/>
        </w:rPr>
        <w:t>. Kernel estimates of sales growth rates</w:t>
      </w:r>
    </w:p>
    <w:p w14:paraId="0E0D8CF0" w14:textId="77777777" w:rsidR="00415057" w:rsidRPr="0009669D" w:rsidRDefault="00415057" w:rsidP="00415057">
      <w:pPr>
        <w:spacing w:before="120" w:after="120" w:line="276" w:lineRule="auto"/>
        <w:jc w:val="center"/>
        <w:rPr>
          <w:rFonts w:eastAsia="Calibri" w:cs="Times New Roman"/>
          <w:b/>
          <w:sz w:val="20"/>
          <w:lang w:val="en-GB"/>
        </w:rPr>
      </w:pPr>
      <w:r w:rsidRPr="0009669D">
        <w:rPr>
          <w:rFonts w:eastAsia="Calibri" w:cs="Times New Roman"/>
          <w:b/>
          <w:noProof/>
          <w:sz w:val="20"/>
          <w:lang w:val="es-ES" w:eastAsia="es-ES"/>
        </w:rPr>
        <w:drawing>
          <wp:inline distT="0" distB="0" distL="0" distR="0" wp14:anchorId="3501E1A9" wp14:editId="243AD089">
            <wp:extent cx="3914130" cy="288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3914130" cy="2880000"/>
                    </a:xfrm>
                    <a:prstGeom prst="rect">
                      <a:avLst/>
                    </a:prstGeom>
                    <a:noFill/>
                    <a:ln>
                      <a:noFill/>
                    </a:ln>
                  </pic:spPr>
                </pic:pic>
              </a:graphicData>
            </a:graphic>
          </wp:inline>
        </w:drawing>
      </w:r>
    </w:p>
    <w:p w14:paraId="38E47C2D" w14:textId="77777777" w:rsidR="00415057" w:rsidRPr="0009669D" w:rsidRDefault="00415057" w:rsidP="00415057">
      <w:pPr>
        <w:keepNext/>
        <w:spacing w:before="120" w:after="120" w:line="276" w:lineRule="auto"/>
        <w:jc w:val="center"/>
        <w:rPr>
          <w:rFonts w:eastAsia="Calibri" w:cs="Times New Roman"/>
          <w:b/>
          <w:sz w:val="20"/>
          <w:lang w:val="en-GB"/>
        </w:rPr>
      </w:pPr>
      <w:r w:rsidRPr="0009669D">
        <w:rPr>
          <w:rFonts w:eastAsia="Calibri" w:cs="Times New Roman"/>
          <w:b/>
          <w:sz w:val="20"/>
          <w:lang w:val="en-GB"/>
        </w:rPr>
        <w:t xml:space="preserve">Figure </w:t>
      </w:r>
      <w:r w:rsidRPr="0009669D">
        <w:rPr>
          <w:rFonts w:eastAsia="Calibri" w:cs="Times New Roman"/>
          <w:b/>
          <w:noProof/>
          <w:sz w:val="20"/>
          <w:lang w:val="en-GB"/>
        </w:rPr>
        <w:t>2</w:t>
      </w:r>
      <w:r w:rsidRPr="0009669D">
        <w:rPr>
          <w:rFonts w:eastAsia="Calibri" w:cs="Times New Roman"/>
          <w:b/>
          <w:sz w:val="20"/>
          <w:lang w:val="en-GB"/>
        </w:rPr>
        <w:t>. Kernel estimates of employees growth rates</w:t>
      </w:r>
    </w:p>
    <w:p w14:paraId="307C8B89" w14:textId="77777777" w:rsidR="00415057" w:rsidRPr="0009669D" w:rsidRDefault="00415057" w:rsidP="00415057">
      <w:pPr>
        <w:spacing w:before="120" w:after="120" w:line="276" w:lineRule="auto"/>
        <w:jc w:val="center"/>
        <w:rPr>
          <w:rFonts w:eastAsia="Calibri" w:cs="Times New Roman"/>
          <w:sz w:val="20"/>
          <w:lang w:val="en-GB"/>
        </w:rPr>
      </w:pPr>
      <w:r w:rsidRPr="0009669D">
        <w:rPr>
          <w:rFonts w:eastAsia="Calibri" w:cs="Times New Roman"/>
          <w:b/>
          <w:noProof/>
          <w:sz w:val="20"/>
          <w:lang w:val="es-ES" w:eastAsia="es-ES"/>
        </w:rPr>
        <w:drawing>
          <wp:inline distT="0" distB="0" distL="0" distR="0" wp14:anchorId="7F5EDDD3" wp14:editId="7570E17C">
            <wp:extent cx="3914135" cy="288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3914135" cy="2880000"/>
                    </a:xfrm>
                    <a:prstGeom prst="rect">
                      <a:avLst/>
                    </a:prstGeom>
                    <a:noFill/>
                    <a:ln>
                      <a:noFill/>
                    </a:ln>
                  </pic:spPr>
                </pic:pic>
              </a:graphicData>
            </a:graphic>
          </wp:inline>
        </w:drawing>
      </w:r>
    </w:p>
    <w:p w14:paraId="0B6C27EA" w14:textId="68436756" w:rsidR="00AC4F5B" w:rsidRPr="0009669D" w:rsidRDefault="00AC4F5B" w:rsidP="0070319D">
      <w:pPr>
        <w:ind w:firstLine="0"/>
        <w:rPr>
          <w:lang w:val="en-GB"/>
        </w:rPr>
      </w:pPr>
      <w:r w:rsidRPr="0009669D">
        <w:rPr>
          <w:lang w:val="en-GB"/>
        </w:rPr>
        <w:t>Before performing the business growth analysis it is important to provide the descriptive statistics (Table 4). The averages of the variables investigated in the study period and their growth measured through their annual logarithmic difference are: sales (s) USD 1'121</w:t>
      </w:r>
      <w:proofErr w:type="gramStart"/>
      <w:r w:rsidRPr="0009669D">
        <w:rPr>
          <w:lang w:val="en-GB"/>
        </w:rPr>
        <w:t>.578,00</w:t>
      </w:r>
      <w:proofErr w:type="gramEnd"/>
      <w:r w:rsidRPr="0009669D">
        <w:rPr>
          <w:lang w:val="en-GB"/>
        </w:rPr>
        <w:t xml:space="preserve"> and growth (</w:t>
      </w:r>
      <w:proofErr w:type="spellStart"/>
      <w:r w:rsidRPr="0009669D">
        <w:rPr>
          <w:lang w:val="en-GB"/>
        </w:rPr>
        <w:t>gs</w:t>
      </w:r>
      <w:proofErr w:type="spellEnd"/>
      <w:r w:rsidRPr="0009669D">
        <w:rPr>
          <w:lang w:val="en-GB"/>
        </w:rPr>
        <w:t>) of 1.18%, capital (k) ) USD 117,048.70 its growth (</w:t>
      </w:r>
      <w:proofErr w:type="spellStart"/>
      <w:r w:rsidRPr="0009669D">
        <w:rPr>
          <w:lang w:val="en-GB"/>
        </w:rPr>
        <w:t>gk</w:t>
      </w:r>
      <w:proofErr w:type="spellEnd"/>
      <w:r w:rsidRPr="0009669D">
        <w:rPr>
          <w:lang w:val="en-GB"/>
        </w:rPr>
        <w:t>) 17,32%.</w:t>
      </w:r>
      <w:r w:rsidR="0009669D" w:rsidRPr="0009669D">
        <w:rPr>
          <w:lang w:val="en-GB"/>
        </w:rPr>
        <w:t xml:space="preserve"> </w:t>
      </w:r>
      <w:r w:rsidRPr="0009669D">
        <w:rPr>
          <w:lang w:val="en-GB"/>
        </w:rPr>
        <w:t>Regarding the number of employees (</w:t>
      </w:r>
      <w:proofErr w:type="spellStart"/>
      <w:r w:rsidRPr="0009669D">
        <w:rPr>
          <w:lang w:val="en-GB"/>
        </w:rPr>
        <w:t>emp</w:t>
      </w:r>
      <w:proofErr w:type="spellEnd"/>
      <w:r w:rsidRPr="0009669D">
        <w:rPr>
          <w:lang w:val="en-GB"/>
        </w:rPr>
        <w:t>) the companies present an average of approximately 24 employees, with a maximum of 1,999 and the average growth of this figure (</w:t>
      </w:r>
      <w:proofErr w:type="spellStart"/>
      <w:r w:rsidRPr="0009669D">
        <w:rPr>
          <w:lang w:val="en-GB"/>
        </w:rPr>
        <w:t>gemp</w:t>
      </w:r>
      <w:proofErr w:type="spellEnd"/>
      <w:r w:rsidRPr="0009669D">
        <w:rPr>
          <w:lang w:val="en-GB"/>
        </w:rPr>
        <w:t>) is 0.64%. Regarding age (age), their average is 14.28 years reaching a maximum of 84 years of age.</w:t>
      </w:r>
    </w:p>
    <w:p w14:paraId="3242CC59" w14:textId="77777777" w:rsidR="00415057" w:rsidRPr="0009669D" w:rsidRDefault="00415057" w:rsidP="00415057">
      <w:pPr>
        <w:keepNext/>
        <w:spacing w:before="100" w:beforeAutospacing="1" w:after="0" w:line="276" w:lineRule="auto"/>
        <w:ind w:firstLine="0"/>
        <w:jc w:val="center"/>
        <w:rPr>
          <w:rFonts w:eastAsia="Calibri" w:cs="Times New Roman"/>
          <w:b/>
          <w:sz w:val="20"/>
          <w:lang w:val="en-GB"/>
        </w:rPr>
      </w:pPr>
      <w:bookmarkStart w:id="3" w:name="_Ref508097799"/>
      <w:bookmarkStart w:id="4" w:name="_Ref509830931"/>
      <w:r w:rsidRPr="0009669D">
        <w:rPr>
          <w:rFonts w:eastAsia="Calibri" w:cs="Times New Roman"/>
          <w:b/>
          <w:sz w:val="20"/>
          <w:lang w:val="en-GB"/>
        </w:rPr>
        <w:lastRenderedPageBreak/>
        <w:t xml:space="preserve">Table </w:t>
      </w:r>
      <w:r w:rsidRPr="0009669D">
        <w:rPr>
          <w:rFonts w:eastAsia="Calibri" w:cs="Times New Roman"/>
          <w:b/>
          <w:noProof/>
          <w:sz w:val="20"/>
          <w:lang w:val="en-GB"/>
        </w:rPr>
        <w:t>4</w:t>
      </w:r>
      <w:bookmarkEnd w:id="3"/>
      <w:r w:rsidRPr="0009669D">
        <w:rPr>
          <w:rFonts w:eastAsia="Calibri" w:cs="Times New Roman"/>
          <w:b/>
          <w:sz w:val="20"/>
          <w:lang w:val="en-GB"/>
        </w:rPr>
        <w:t>. Descriptive statistics for explanatory variables</w:t>
      </w:r>
      <w:bookmarkEnd w:id="4"/>
    </w:p>
    <w:tbl>
      <w:tblPr>
        <w:tblW w:w="5897" w:type="dxa"/>
        <w:jc w:val="center"/>
        <w:tblCellMar>
          <w:left w:w="70" w:type="dxa"/>
          <w:right w:w="70" w:type="dxa"/>
        </w:tblCellMar>
        <w:tblLook w:val="04A0" w:firstRow="1" w:lastRow="0" w:firstColumn="1" w:lastColumn="0" w:noHBand="0" w:noVBand="1"/>
      </w:tblPr>
      <w:tblGrid>
        <w:gridCol w:w="1000"/>
        <w:gridCol w:w="920"/>
        <w:gridCol w:w="990"/>
        <w:gridCol w:w="990"/>
        <w:gridCol w:w="1057"/>
        <w:gridCol w:w="940"/>
      </w:tblGrid>
      <w:tr w:rsidR="00415057" w:rsidRPr="0009669D" w14:paraId="18157728" w14:textId="77777777" w:rsidTr="00C200CC">
        <w:trPr>
          <w:trHeight w:val="255"/>
          <w:jc w:val="center"/>
        </w:trPr>
        <w:tc>
          <w:tcPr>
            <w:tcW w:w="1000" w:type="dxa"/>
            <w:tcBorders>
              <w:top w:val="single" w:sz="4" w:space="0" w:color="auto"/>
              <w:left w:val="nil"/>
              <w:bottom w:val="single" w:sz="4" w:space="0" w:color="auto"/>
              <w:right w:val="nil"/>
            </w:tcBorders>
            <w:shd w:val="clear" w:color="000000" w:fill="FFFFFF"/>
            <w:noWrap/>
            <w:vAlign w:val="bottom"/>
            <w:hideMark/>
          </w:tcPr>
          <w:p w14:paraId="47A64B7F"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Variable</w:t>
            </w:r>
          </w:p>
        </w:tc>
        <w:tc>
          <w:tcPr>
            <w:tcW w:w="920" w:type="dxa"/>
            <w:tcBorders>
              <w:top w:val="single" w:sz="4" w:space="0" w:color="auto"/>
              <w:left w:val="nil"/>
              <w:bottom w:val="single" w:sz="4" w:space="0" w:color="auto"/>
              <w:right w:val="nil"/>
            </w:tcBorders>
            <w:shd w:val="clear" w:color="000000" w:fill="FFFFFF"/>
            <w:noWrap/>
            <w:vAlign w:val="bottom"/>
            <w:hideMark/>
          </w:tcPr>
          <w:p w14:paraId="51AB26D2"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Obs.</w:t>
            </w:r>
          </w:p>
        </w:tc>
        <w:tc>
          <w:tcPr>
            <w:tcW w:w="990" w:type="dxa"/>
            <w:tcBorders>
              <w:top w:val="single" w:sz="4" w:space="0" w:color="auto"/>
              <w:left w:val="nil"/>
              <w:bottom w:val="single" w:sz="4" w:space="0" w:color="auto"/>
              <w:right w:val="nil"/>
            </w:tcBorders>
            <w:shd w:val="clear" w:color="000000" w:fill="FFFFFF"/>
            <w:noWrap/>
            <w:vAlign w:val="bottom"/>
            <w:hideMark/>
          </w:tcPr>
          <w:p w14:paraId="2DFD1E68"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Mean</w:t>
            </w:r>
          </w:p>
        </w:tc>
        <w:tc>
          <w:tcPr>
            <w:tcW w:w="990" w:type="dxa"/>
            <w:tcBorders>
              <w:top w:val="single" w:sz="4" w:space="0" w:color="auto"/>
              <w:left w:val="nil"/>
              <w:bottom w:val="single" w:sz="4" w:space="0" w:color="auto"/>
              <w:right w:val="nil"/>
            </w:tcBorders>
            <w:shd w:val="clear" w:color="000000" w:fill="FFFFFF"/>
            <w:noWrap/>
            <w:vAlign w:val="bottom"/>
            <w:hideMark/>
          </w:tcPr>
          <w:p w14:paraId="628446A2"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Standard deviation</w:t>
            </w:r>
          </w:p>
        </w:tc>
        <w:tc>
          <w:tcPr>
            <w:tcW w:w="1057" w:type="dxa"/>
            <w:tcBorders>
              <w:top w:val="single" w:sz="4" w:space="0" w:color="auto"/>
              <w:left w:val="nil"/>
              <w:bottom w:val="single" w:sz="4" w:space="0" w:color="auto"/>
              <w:right w:val="nil"/>
            </w:tcBorders>
            <w:shd w:val="clear" w:color="000000" w:fill="FFFFFF"/>
            <w:noWrap/>
            <w:vAlign w:val="bottom"/>
            <w:hideMark/>
          </w:tcPr>
          <w:p w14:paraId="0796A04D"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Min.</w:t>
            </w:r>
          </w:p>
        </w:tc>
        <w:tc>
          <w:tcPr>
            <w:tcW w:w="940" w:type="dxa"/>
            <w:tcBorders>
              <w:top w:val="single" w:sz="4" w:space="0" w:color="auto"/>
              <w:left w:val="nil"/>
              <w:bottom w:val="single" w:sz="4" w:space="0" w:color="auto"/>
              <w:right w:val="nil"/>
            </w:tcBorders>
            <w:shd w:val="clear" w:color="000000" w:fill="FFFFFF"/>
            <w:noWrap/>
            <w:vAlign w:val="bottom"/>
            <w:hideMark/>
          </w:tcPr>
          <w:p w14:paraId="38906F95"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Max.</w:t>
            </w:r>
          </w:p>
        </w:tc>
      </w:tr>
      <w:tr w:rsidR="00415057" w:rsidRPr="0009669D" w14:paraId="417ACCD3" w14:textId="77777777" w:rsidTr="00C200CC">
        <w:trPr>
          <w:trHeight w:val="255"/>
          <w:jc w:val="center"/>
        </w:trPr>
        <w:tc>
          <w:tcPr>
            <w:tcW w:w="1000" w:type="dxa"/>
            <w:tcBorders>
              <w:top w:val="nil"/>
              <w:left w:val="nil"/>
              <w:bottom w:val="nil"/>
              <w:right w:val="nil"/>
            </w:tcBorders>
            <w:shd w:val="clear" w:color="000000" w:fill="FFFFFF"/>
            <w:noWrap/>
            <w:vAlign w:val="bottom"/>
            <w:hideMark/>
          </w:tcPr>
          <w:p w14:paraId="0A88ECB6"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s</w:t>
            </w:r>
          </w:p>
        </w:tc>
        <w:tc>
          <w:tcPr>
            <w:tcW w:w="920" w:type="dxa"/>
            <w:tcBorders>
              <w:top w:val="nil"/>
              <w:left w:val="nil"/>
              <w:bottom w:val="nil"/>
              <w:right w:val="nil"/>
            </w:tcBorders>
            <w:shd w:val="clear" w:color="000000" w:fill="FFFFFF"/>
            <w:noWrap/>
            <w:vAlign w:val="bottom"/>
            <w:hideMark/>
          </w:tcPr>
          <w:p w14:paraId="41EDB7EA"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9778</w:t>
            </w:r>
          </w:p>
        </w:tc>
        <w:tc>
          <w:tcPr>
            <w:tcW w:w="990" w:type="dxa"/>
            <w:tcBorders>
              <w:top w:val="nil"/>
              <w:left w:val="nil"/>
              <w:bottom w:val="nil"/>
              <w:right w:val="nil"/>
            </w:tcBorders>
            <w:shd w:val="clear" w:color="000000" w:fill="FFFFFF"/>
            <w:noWrap/>
            <w:vAlign w:val="bottom"/>
            <w:hideMark/>
          </w:tcPr>
          <w:p w14:paraId="57B575E1"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1121578</w:t>
            </w:r>
          </w:p>
        </w:tc>
        <w:tc>
          <w:tcPr>
            <w:tcW w:w="990" w:type="dxa"/>
            <w:tcBorders>
              <w:top w:val="nil"/>
              <w:left w:val="nil"/>
              <w:bottom w:val="nil"/>
              <w:right w:val="nil"/>
            </w:tcBorders>
            <w:shd w:val="clear" w:color="000000" w:fill="FFFFFF"/>
            <w:noWrap/>
            <w:vAlign w:val="bottom"/>
            <w:hideMark/>
          </w:tcPr>
          <w:p w14:paraId="67782BD3"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1133647</w:t>
            </w:r>
          </w:p>
        </w:tc>
        <w:tc>
          <w:tcPr>
            <w:tcW w:w="1057" w:type="dxa"/>
            <w:tcBorders>
              <w:top w:val="nil"/>
              <w:left w:val="nil"/>
              <w:bottom w:val="nil"/>
              <w:right w:val="nil"/>
            </w:tcBorders>
            <w:shd w:val="clear" w:color="000000" w:fill="FFFFFF"/>
            <w:noWrap/>
            <w:vAlign w:val="bottom"/>
            <w:hideMark/>
          </w:tcPr>
          <w:p w14:paraId="08363DDC"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100092.1</w:t>
            </w:r>
          </w:p>
        </w:tc>
        <w:tc>
          <w:tcPr>
            <w:tcW w:w="940" w:type="dxa"/>
            <w:tcBorders>
              <w:top w:val="nil"/>
              <w:left w:val="nil"/>
              <w:bottom w:val="nil"/>
              <w:right w:val="nil"/>
            </w:tcBorders>
            <w:shd w:val="clear" w:color="000000" w:fill="FFFFFF"/>
            <w:noWrap/>
            <w:vAlign w:val="bottom"/>
            <w:hideMark/>
          </w:tcPr>
          <w:p w14:paraId="23EFCC3C"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4996704</w:t>
            </w:r>
          </w:p>
        </w:tc>
      </w:tr>
      <w:tr w:rsidR="00415057" w:rsidRPr="0009669D" w14:paraId="2343FA81" w14:textId="77777777" w:rsidTr="00C200CC">
        <w:trPr>
          <w:trHeight w:val="255"/>
          <w:jc w:val="center"/>
        </w:trPr>
        <w:tc>
          <w:tcPr>
            <w:tcW w:w="1000" w:type="dxa"/>
            <w:tcBorders>
              <w:top w:val="nil"/>
              <w:left w:val="nil"/>
              <w:bottom w:val="nil"/>
              <w:right w:val="nil"/>
            </w:tcBorders>
            <w:shd w:val="clear" w:color="000000" w:fill="FFFFFF"/>
            <w:noWrap/>
            <w:vAlign w:val="bottom"/>
            <w:hideMark/>
          </w:tcPr>
          <w:p w14:paraId="1F1088E1"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proofErr w:type="spellStart"/>
            <w:r w:rsidRPr="0009669D">
              <w:rPr>
                <w:rFonts w:eastAsia="Times New Roman" w:cs="Times New Roman"/>
                <w:color w:val="000000"/>
                <w:sz w:val="20"/>
                <w:szCs w:val="20"/>
                <w:lang w:val="en-GB" w:eastAsia="es-ES"/>
              </w:rPr>
              <w:t>emp</w:t>
            </w:r>
            <w:proofErr w:type="spellEnd"/>
          </w:p>
        </w:tc>
        <w:tc>
          <w:tcPr>
            <w:tcW w:w="920" w:type="dxa"/>
            <w:tcBorders>
              <w:top w:val="nil"/>
              <w:left w:val="nil"/>
              <w:bottom w:val="nil"/>
              <w:right w:val="nil"/>
            </w:tcBorders>
            <w:shd w:val="clear" w:color="000000" w:fill="FFFFFF"/>
            <w:noWrap/>
            <w:vAlign w:val="bottom"/>
            <w:hideMark/>
          </w:tcPr>
          <w:p w14:paraId="585FEB7D"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9778</w:t>
            </w:r>
          </w:p>
        </w:tc>
        <w:tc>
          <w:tcPr>
            <w:tcW w:w="990" w:type="dxa"/>
            <w:tcBorders>
              <w:top w:val="nil"/>
              <w:left w:val="nil"/>
              <w:bottom w:val="nil"/>
              <w:right w:val="nil"/>
            </w:tcBorders>
            <w:shd w:val="clear" w:color="000000" w:fill="FFFFFF"/>
            <w:noWrap/>
            <w:vAlign w:val="bottom"/>
            <w:hideMark/>
          </w:tcPr>
          <w:p w14:paraId="72DA0CBF"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24.33054</w:t>
            </w:r>
          </w:p>
        </w:tc>
        <w:tc>
          <w:tcPr>
            <w:tcW w:w="990" w:type="dxa"/>
            <w:tcBorders>
              <w:top w:val="nil"/>
              <w:left w:val="nil"/>
              <w:bottom w:val="nil"/>
              <w:right w:val="nil"/>
            </w:tcBorders>
            <w:shd w:val="clear" w:color="000000" w:fill="FFFFFF"/>
            <w:noWrap/>
            <w:vAlign w:val="bottom"/>
            <w:hideMark/>
          </w:tcPr>
          <w:p w14:paraId="322802A2"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53.0185</w:t>
            </w:r>
          </w:p>
        </w:tc>
        <w:tc>
          <w:tcPr>
            <w:tcW w:w="1057" w:type="dxa"/>
            <w:tcBorders>
              <w:top w:val="nil"/>
              <w:left w:val="nil"/>
              <w:bottom w:val="nil"/>
              <w:right w:val="nil"/>
            </w:tcBorders>
            <w:shd w:val="clear" w:color="000000" w:fill="FFFFFF"/>
            <w:noWrap/>
            <w:vAlign w:val="bottom"/>
            <w:hideMark/>
          </w:tcPr>
          <w:p w14:paraId="43F9D572"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w:t>
            </w:r>
          </w:p>
        </w:tc>
        <w:tc>
          <w:tcPr>
            <w:tcW w:w="940" w:type="dxa"/>
            <w:tcBorders>
              <w:top w:val="nil"/>
              <w:left w:val="nil"/>
              <w:bottom w:val="nil"/>
              <w:right w:val="nil"/>
            </w:tcBorders>
            <w:shd w:val="clear" w:color="000000" w:fill="FFFFFF"/>
            <w:noWrap/>
            <w:vAlign w:val="bottom"/>
            <w:hideMark/>
          </w:tcPr>
          <w:p w14:paraId="627E5306"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1999</w:t>
            </w:r>
          </w:p>
        </w:tc>
      </w:tr>
      <w:tr w:rsidR="00415057" w:rsidRPr="0009669D" w14:paraId="32BC7A13" w14:textId="77777777" w:rsidTr="00C200CC">
        <w:trPr>
          <w:trHeight w:val="255"/>
          <w:jc w:val="center"/>
        </w:trPr>
        <w:tc>
          <w:tcPr>
            <w:tcW w:w="1000" w:type="dxa"/>
            <w:tcBorders>
              <w:top w:val="nil"/>
              <w:left w:val="nil"/>
              <w:bottom w:val="nil"/>
              <w:right w:val="nil"/>
            </w:tcBorders>
            <w:shd w:val="clear" w:color="000000" w:fill="FFFFFF"/>
            <w:noWrap/>
            <w:vAlign w:val="bottom"/>
            <w:hideMark/>
          </w:tcPr>
          <w:p w14:paraId="01EDDADE"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k</w:t>
            </w:r>
          </w:p>
        </w:tc>
        <w:tc>
          <w:tcPr>
            <w:tcW w:w="920" w:type="dxa"/>
            <w:tcBorders>
              <w:top w:val="nil"/>
              <w:left w:val="nil"/>
              <w:bottom w:val="nil"/>
              <w:right w:val="nil"/>
            </w:tcBorders>
            <w:shd w:val="clear" w:color="000000" w:fill="FFFFFF"/>
            <w:noWrap/>
            <w:vAlign w:val="bottom"/>
            <w:hideMark/>
          </w:tcPr>
          <w:p w14:paraId="1CF22C60"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9778</w:t>
            </w:r>
          </w:p>
        </w:tc>
        <w:tc>
          <w:tcPr>
            <w:tcW w:w="990" w:type="dxa"/>
            <w:tcBorders>
              <w:top w:val="nil"/>
              <w:left w:val="nil"/>
              <w:bottom w:val="nil"/>
              <w:right w:val="nil"/>
            </w:tcBorders>
            <w:shd w:val="clear" w:color="000000" w:fill="FFFFFF"/>
            <w:noWrap/>
            <w:vAlign w:val="bottom"/>
            <w:hideMark/>
          </w:tcPr>
          <w:p w14:paraId="119D1B6C"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117048.7</w:t>
            </w:r>
          </w:p>
        </w:tc>
        <w:tc>
          <w:tcPr>
            <w:tcW w:w="990" w:type="dxa"/>
            <w:tcBorders>
              <w:top w:val="nil"/>
              <w:left w:val="nil"/>
              <w:bottom w:val="nil"/>
              <w:right w:val="nil"/>
            </w:tcBorders>
            <w:shd w:val="clear" w:color="000000" w:fill="FFFFFF"/>
            <w:noWrap/>
            <w:vAlign w:val="bottom"/>
            <w:hideMark/>
          </w:tcPr>
          <w:p w14:paraId="5331BFB9"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548824.8</w:t>
            </w:r>
          </w:p>
        </w:tc>
        <w:tc>
          <w:tcPr>
            <w:tcW w:w="1057" w:type="dxa"/>
            <w:tcBorders>
              <w:top w:val="nil"/>
              <w:left w:val="nil"/>
              <w:bottom w:val="nil"/>
              <w:right w:val="nil"/>
            </w:tcBorders>
            <w:shd w:val="clear" w:color="000000" w:fill="FFFFFF"/>
            <w:noWrap/>
            <w:vAlign w:val="bottom"/>
            <w:hideMark/>
          </w:tcPr>
          <w:p w14:paraId="3694EC9B"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100</w:t>
            </w:r>
          </w:p>
        </w:tc>
        <w:tc>
          <w:tcPr>
            <w:tcW w:w="940" w:type="dxa"/>
            <w:tcBorders>
              <w:top w:val="nil"/>
              <w:left w:val="nil"/>
              <w:bottom w:val="nil"/>
              <w:right w:val="nil"/>
            </w:tcBorders>
            <w:shd w:val="clear" w:color="000000" w:fill="FFFFFF"/>
            <w:noWrap/>
            <w:vAlign w:val="bottom"/>
            <w:hideMark/>
          </w:tcPr>
          <w:p w14:paraId="0A45CC54"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15000000</w:t>
            </w:r>
          </w:p>
        </w:tc>
      </w:tr>
      <w:tr w:rsidR="00415057" w:rsidRPr="0009669D" w14:paraId="568D5E86" w14:textId="77777777" w:rsidTr="00C200CC">
        <w:trPr>
          <w:trHeight w:val="255"/>
          <w:jc w:val="center"/>
        </w:trPr>
        <w:tc>
          <w:tcPr>
            <w:tcW w:w="1000" w:type="dxa"/>
            <w:tcBorders>
              <w:top w:val="nil"/>
              <w:left w:val="nil"/>
              <w:bottom w:val="nil"/>
              <w:right w:val="nil"/>
            </w:tcBorders>
            <w:shd w:val="clear" w:color="000000" w:fill="FFFFFF"/>
            <w:noWrap/>
            <w:vAlign w:val="bottom"/>
            <w:hideMark/>
          </w:tcPr>
          <w:p w14:paraId="03A3F04A"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age</w:t>
            </w:r>
          </w:p>
        </w:tc>
        <w:tc>
          <w:tcPr>
            <w:tcW w:w="920" w:type="dxa"/>
            <w:tcBorders>
              <w:top w:val="nil"/>
              <w:left w:val="nil"/>
              <w:bottom w:val="nil"/>
              <w:right w:val="nil"/>
            </w:tcBorders>
            <w:shd w:val="clear" w:color="000000" w:fill="FFFFFF"/>
            <w:noWrap/>
            <w:vAlign w:val="bottom"/>
            <w:hideMark/>
          </w:tcPr>
          <w:p w14:paraId="43460200"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9778</w:t>
            </w:r>
          </w:p>
        </w:tc>
        <w:tc>
          <w:tcPr>
            <w:tcW w:w="990" w:type="dxa"/>
            <w:tcBorders>
              <w:top w:val="nil"/>
              <w:left w:val="nil"/>
              <w:bottom w:val="nil"/>
              <w:right w:val="nil"/>
            </w:tcBorders>
            <w:shd w:val="clear" w:color="000000" w:fill="FFFFFF"/>
            <w:noWrap/>
            <w:vAlign w:val="bottom"/>
            <w:hideMark/>
          </w:tcPr>
          <w:p w14:paraId="6FC79FE6"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14.28165</w:t>
            </w:r>
          </w:p>
        </w:tc>
        <w:tc>
          <w:tcPr>
            <w:tcW w:w="990" w:type="dxa"/>
            <w:tcBorders>
              <w:top w:val="nil"/>
              <w:left w:val="nil"/>
              <w:bottom w:val="nil"/>
              <w:right w:val="nil"/>
            </w:tcBorders>
            <w:shd w:val="clear" w:color="000000" w:fill="FFFFFF"/>
            <w:noWrap/>
            <w:vAlign w:val="bottom"/>
            <w:hideMark/>
          </w:tcPr>
          <w:p w14:paraId="584E3BF4"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12.64215</w:t>
            </w:r>
          </w:p>
        </w:tc>
        <w:tc>
          <w:tcPr>
            <w:tcW w:w="1057" w:type="dxa"/>
            <w:tcBorders>
              <w:top w:val="nil"/>
              <w:left w:val="nil"/>
              <w:bottom w:val="nil"/>
              <w:right w:val="nil"/>
            </w:tcBorders>
            <w:shd w:val="clear" w:color="000000" w:fill="FFFFFF"/>
            <w:noWrap/>
            <w:vAlign w:val="bottom"/>
            <w:hideMark/>
          </w:tcPr>
          <w:p w14:paraId="4C5EF427"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w:t>
            </w:r>
          </w:p>
        </w:tc>
        <w:tc>
          <w:tcPr>
            <w:tcW w:w="940" w:type="dxa"/>
            <w:tcBorders>
              <w:top w:val="nil"/>
              <w:left w:val="nil"/>
              <w:bottom w:val="nil"/>
              <w:right w:val="nil"/>
            </w:tcBorders>
            <w:shd w:val="clear" w:color="000000" w:fill="FFFFFF"/>
            <w:noWrap/>
            <w:vAlign w:val="bottom"/>
            <w:hideMark/>
          </w:tcPr>
          <w:p w14:paraId="71C96750"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84</w:t>
            </w:r>
          </w:p>
        </w:tc>
      </w:tr>
      <w:tr w:rsidR="00415057" w:rsidRPr="0009669D" w14:paraId="79D5A722" w14:textId="77777777" w:rsidTr="00C200CC">
        <w:trPr>
          <w:trHeight w:val="255"/>
          <w:jc w:val="center"/>
        </w:trPr>
        <w:tc>
          <w:tcPr>
            <w:tcW w:w="1000" w:type="dxa"/>
            <w:tcBorders>
              <w:top w:val="nil"/>
              <w:left w:val="nil"/>
              <w:bottom w:val="nil"/>
              <w:right w:val="nil"/>
            </w:tcBorders>
            <w:shd w:val="clear" w:color="000000" w:fill="FFFFFF"/>
            <w:noWrap/>
            <w:vAlign w:val="bottom"/>
            <w:hideMark/>
          </w:tcPr>
          <w:p w14:paraId="08701B44"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proofErr w:type="spellStart"/>
            <w:r w:rsidRPr="0009669D">
              <w:rPr>
                <w:rFonts w:eastAsia="Times New Roman" w:cs="Times New Roman"/>
                <w:color w:val="000000"/>
                <w:sz w:val="20"/>
                <w:szCs w:val="20"/>
                <w:lang w:val="en-GB" w:eastAsia="es-ES"/>
              </w:rPr>
              <w:t>gs</w:t>
            </w:r>
            <w:proofErr w:type="spellEnd"/>
          </w:p>
        </w:tc>
        <w:tc>
          <w:tcPr>
            <w:tcW w:w="920" w:type="dxa"/>
            <w:tcBorders>
              <w:top w:val="nil"/>
              <w:left w:val="nil"/>
              <w:bottom w:val="nil"/>
              <w:right w:val="nil"/>
            </w:tcBorders>
            <w:shd w:val="clear" w:color="000000" w:fill="FFFFFF"/>
            <w:noWrap/>
            <w:vAlign w:val="bottom"/>
            <w:hideMark/>
          </w:tcPr>
          <w:p w14:paraId="4FD2B859"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990" w:type="dxa"/>
            <w:tcBorders>
              <w:top w:val="nil"/>
              <w:left w:val="nil"/>
              <w:bottom w:val="nil"/>
              <w:right w:val="nil"/>
            </w:tcBorders>
            <w:shd w:val="clear" w:color="000000" w:fill="FFFFFF"/>
            <w:noWrap/>
            <w:vAlign w:val="bottom"/>
            <w:hideMark/>
          </w:tcPr>
          <w:p w14:paraId="61F71475"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0.0117656</w:t>
            </w:r>
          </w:p>
        </w:tc>
        <w:tc>
          <w:tcPr>
            <w:tcW w:w="990" w:type="dxa"/>
            <w:tcBorders>
              <w:top w:val="nil"/>
              <w:left w:val="nil"/>
              <w:bottom w:val="nil"/>
              <w:right w:val="nil"/>
            </w:tcBorders>
            <w:shd w:val="clear" w:color="000000" w:fill="FFFFFF"/>
            <w:noWrap/>
            <w:vAlign w:val="bottom"/>
            <w:hideMark/>
          </w:tcPr>
          <w:p w14:paraId="5ED8BC72"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0.481362</w:t>
            </w:r>
          </w:p>
        </w:tc>
        <w:tc>
          <w:tcPr>
            <w:tcW w:w="1057" w:type="dxa"/>
            <w:tcBorders>
              <w:top w:val="nil"/>
              <w:left w:val="nil"/>
              <w:bottom w:val="nil"/>
              <w:right w:val="nil"/>
            </w:tcBorders>
            <w:shd w:val="clear" w:color="000000" w:fill="FFFFFF"/>
            <w:noWrap/>
            <w:vAlign w:val="bottom"/>
            <w:hideMark/>
          </w:tcPr>
          <w:p w14:paraId="3BC2497D"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-3.407889</w:t>
            </w:r>
          </w:p>
        </w:tc>
        <w:tc>
          <w:tcPr>
            <w:tcW w:w="940" w:type="dxa"/>
            <w:tcBorders>
              <w:top w:val="nil"/>
              <w:left w:val="nil"/>
              <w:bottom w:val="nil"/>
              <w:right w:val="nil"/>
            </w:tcBorders>
            <w:shd w:val="clear" w:color="000000" w:fill="FFFFFF"/>
            <w:noWrap/>
            <w:vAlign w:val="bottom"/>
            <w:hideMark/>
          </w:tcPr>
          <w:p w14:paraId="278A25B7"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3.349525</w:t>
            </w:r>
          </w:p>
        </w:tc>
      </w:tr>
      <w:tr w:rsidR="00415057" w:rsidRPr="0009669D" w14:paraId="529D23A1" w14:textId="77777777" w:rsidTr="00C200CC">
        <w:trPr>
          <w:trHeight w:val="255"/>
          <w:jc w:val="center"/>
        </w:trPr>
        <w:tc>
          <w:tcPr>
            <w:tcW w:w="1000" w:type="dxa"/>
            <w:tcBorders>
              <w:top w:val="nil"/>
              <w:left w:val="nil"/>
              <w:bottom w:val="nil"/>
              <w:right w:val="nil"/>
            </w:tcBorders>
            <w:shd w:val="clear" w:color="000000" w:fill="FFFFFF"/>
            <w:noWrap/>
            <w:vAlign w:val="bottom"/>
            <w:hideMark/>
          </w:tcPr>
          <w:p w14:paraId="1479B266"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proofErr w:type="spellStart"/>
            <w:r w:rsidRPr="0009669D">
              <w:rPr>
                <w:rFonts w:eastAsia="Times New Roman" w:cs="Times New Roman"/>
                <w:color w:val="000000"/>
                <w:sz w:val="20"/>
                <w:szCs w:val="20"/>
                <w:lang w:val="en-GB" w:eastAsia="es-ES"/>
              </w:rPr>
              <w:t>gemp</w:t>
            </w:r>
            <w:proofErr w:type="spellEnd"/>
          </w:p>
        </w:tc>
        <w:tc>
          <w:tcPr>
            <w:tcW w:w="920" w:type="dxa"/>
            <w:tcBorders>
              <w:top w:val="nil"/>
              <w:left w:val="nil"/>
              <w:bottom w:val="nil"/>
              <w:right w:val="nil"/>
            </w:tcBorders>
            <w:shd w:val="clear" w:color="000000" w:fill="FFFFFF"/>
            <w:noWrap/>
            <w:vAlign w:val="bottom"/>
            <w:hideMark/>
          </w:tcPr>
          <w:p w14:paraId="1BBDAE07"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990" w:type="dxa"/>
            <w:tcBorders>
              <w:top w:val="nil"/>
              <w:left w:val="nil"/>
              <w:bottom w:val="nil"/>
              <w:right w:val="nil"/>
            </w:tcBorders>
            <w:shd w:val="clear" w:color="000000" w:fill="FFFFFF"/>
            <w:noWrap/>
            <w:vAlign w:val="bottom"/>
            <w:hideMark/>
          </w:tcPr>
          <w:p w14:paraId="56C9F425"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0.0064584</w:t>
            </w:r>
          </w:p>
        </w:tc>
        <w:tc>
          <w:tcPr>
            <w:tcW w:w="990" w:type="dxa"/>
            <w:tcBorders>
              <w:top w:val="nil"/>
              <w:left w:val="nil"/>
              <w:bottom w:val="nil"/>
              <w:right w:val="nil"/>
            </w:tcBorders>
            <w:shd w:val="clear" w:color="000000" w:fill="FFFFFF"/>
            <w:noWrap/>
            <w:vAlign w:val="bottom"/>
            <w:hideMark/>
          </w:tcPr>
          <w:p w14:paraId="1CA812B9"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0.7199268</w:t>
            </w:r>
          </w:p>
        </w:tc>
        <w:tc>
          <w:tcPr>
            <w:tcW w:w="1057" w:type="dxa"/>
            <w:tcBorders>
              <w:top w:val="nil"/>
              <w:left w:val="nil"/>
              <w:bottom w:val="nil"/>
              <w:right w:val="nil"/>
            </w:tcBorders>
            <w:shd w:val="clear" w:color="000000" w:fill="FFFFFF"/>
            <w:noWrap/>
            <w:vAlign w:val="bottom"/>
            <w:hideMark/>
          </w:tcPr>
          <w:p w14:paraId="76E31088"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-4.10759</w:t>
            </w:r>
          </w:p>
        </w:tc>
        <w:tc>
          <w:tcPr>
            <w:tcW w:w="940" w:type="dxa"/>
            <w:tcBorders>
              <w:top w:val="nil"/>
              <w:left w:val="nil"/>
              <w:bottom w:val="nil"/>
              <w:right w:val="nil"/>
            </w:tcBorders>
            <w:shd w:val="clear" w:color="000000" w:fill="FFFFFF"/>
            <w:noWrap/>
            <w:vAlign w:val="bottom"/>
            <w:hideMark/>
          </w:tcPr>
          <w:p w14:paraId="7FFE1CA0"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4.59512</w:t>
            </w:r>
          </w:p>
        </w:tc>
      </w:tr>
      <w:tr w:rsidR="00415057" w:rsidRPr="0009669D" w14:paraId="3B16AC29" w14:textId="77777777" w:rsidTr="00C200CC">
        <w:trPr>
          <w:trHeight w:val="255"/>
          <w:jc w:val="center"/>
        </w:trPr>
        <w:tc>
          <w:tcPr>
            <w:tcW w:w="1000" w:type="dxa"/>
            <w:tcBorders>
              <w:top w:val="nil"/>
              <w:left w:val="nil"/>
              <w:bottom w:val="single" w:sz="4" w:space="0" w:color="auto"/>
              <w:right w:val="nil"/>
            </w:tcBorders>
            <w:shd w:val="clear" w:color="000000" w:fill="FFFFFF"/>
            <w:noWrap/>
            <w:vAlign w:val="bottom"/>
            <w:hideMark/>
          </w:tcPr>
          <w:p w14:paraId="716CBAEA"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proofErr w:type="spellStart"/>
            <w:r w:rsidRPr="0009669D">
              <w:rPr>
                <w:rFonts w:eastAsia="Times New Roman" w:cs="Times New Roman"/>
                <w:color w:val="000000"/>
                <w:sz w:val="20"/>
                <w:szCs w:val="20"/>
                <w:lang w:val="en-GB" w:eastAsia="es-ES"/>
              </w:rPr>
              <w:t>gk</w:t>
            </w:r>
            <w:proofErr w:type="spellEnd"/>
          </w:p>
        </w:tc>
        <w:tc>
          <w:tcPr>
            <w:tcW w:w="920" w:type="dxa"/>
            <w:tcBorders>
              <w:top w:val="nil"/>
              <w:left w:val="nil"/>
              <w:bottom w:val="single" w:sz="4" w:space="0" w:color="auto"/>
              <w:right w:val="nil"/>
            </w:tcBorders>
            <w:shd w:val="clear" w:color="000000" w:fill="FFFFFF"/>
            <w:noWrap/>
            <w:vAlign w:val="bottom"/>
            <w:hideMark/>
          </w:tcPr>
          <w:p w14:paraId="734BA4A2"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990" w:type="dxa"/>
            <w:tcBorders>
              <w:top w:val="nil"/>
              <w:left w:val="nil"/>
              <w:bottom w:val="single" w:sz="4" w:space="0" w:color="auto"/>
              <w:right w:val="nil"/>
            </w:tcBorders>
            <w:shd w:val="clear" w:color="000000" w:fill="FFFFFF"/>
            <w:noWrap/>
            <w:vAlign w:val="bottom"/>
            <w:hideMark/>
          </w:tcPr>
          <w:p w14:paraId="37F7BDFC"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0.1732141</w:t>
            </w:r>
          </w:p>
        </w:tc>
        <w:tc>
          <w:tcPr>
            <w:tcW w:w="990" w:type="dxa"/>
            <w:tcBorders>
              <w:top w:val="nil"/>
              <w:left w:val="nil"/>
              <w:bottom w:val="single" w:sz="4" w:space="0" w:color="auto"/>
              <w:right w:val="nil"/>
            </w:tcBorders>
            <w:shd w:val="clear" w:color="000000" w:fill="FFFFFF"/>
            <w:noWrap/>
            <w:vAlign w:val="bottom"/>
            <w:hideMark/>
          </w:tcPr>
          <w:p w14:paraId="36402C03"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0.8618854</w:t>
            </w:r>
          </w:p>
        </w:tc>
        <w:tc>
          <w:tcPr>
            <w:tcW w:w="1057" w:type="dxa"/>
            <w:tcBorders>
              <w:top w:val="nil"/>
              <w:left w:val="nil"/>
              <w:bottom w:val="single" w:sz="4" w:space="0" w:color="auto"/>
              <w:right w:val="nil"/>
            </w:tcBorders>
            <w:shd w:val="clear" w:color="000000" w:fill="FFFFFF"/>
            <w:noWrap/>
            <w:vAlign w:val="bottom"/>
            <w:hideMark/>
          </w:tcPr>
          <w:p w14:paraId="56E54329"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-6.214608</w:t>
            </w:r>
          </w:p>
        </w:tc>
        <w:tc>
          <w:tcPr>
            <w:tcW w:w="940" w:type="dxa"/>
            <w:tcBorders>
              <w:top w:val="nil"/>
              <w:left w:val="nil"/>
              <w:bottom w:val="single" w:sz="4" w:space="0" w:color="auto"/>
              <w:right w:val="nil"/>
            </w:tcBorders>
            <w:shd w:val="clear" w:color="000000" w:fill="FFFFFF"/>
            <w:noWrap/>
            <w:vAlign w:val="bottom"/>
            <w:hideMark/>
          </w:tcPr>
          <w:p w14:paraId="344E4E18" w14:textId="77777777" w:rsidR="00415057" w:rsidRPr="0009669D" w:rsidRDefault="00415057" w:rsidP="00415057">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8.417051</w:t>
            </w:r>
          </w:p>
        </w:tc>
      </w:tr>
    </w:tbl>
    <w:p w14:paraId="39CB975E" w14:textId="77777777" w:rsidR="001F0647" w:rsidRPr="0009669D" w:rsidRDefault="001F0647" w:rsidP="0070319D">
      <w:pPr>
        <w:pStyle w:val="Ttulotablasygrficos"/>
        <w:ind w:firstLine="0"/>
        <w:rPr>
          <w:b w:val="0"/>
          <w:lang w:val="en-GB"/>
        </w:rPr>
      </w:pPr>
      <w:r w:rsidRPr="0009669D">
        <w:rPr>
          <w:b w:val="0"/>
          <w:lang w:val="en-GB"/>
        </w:rPr>
        <w:t>Source: own elaboration</w:t>
      </w:r>
    </w:p>
    <w:p w14:paraId="06873960" w14:textId="0099CF7F" w:rsidR="00415057" w:rsidRPr="0009669D" w:rsidRDefault="00415057" w:rsidP="0070319D">
      <w:pPr>
        <w:keepNext/>
        <w:spacing w:after="100" w:afterAutospacing="1"/>
        <w:ind w:firstLine="0"/>
        <w:jc w:val="center"/>
        <w:rPr>
          <w:rFonts w:eastAsia="Calibri" w:cs="Times New Roman"/>
          <w:sz w:val="20"/>
          <w:szCs w:val="20"/>
          <w:lang w:val="en-GB"/>
        </w:rPr>
      </w:pPr>
      <w:r w:rsidRPr="0009669D">
        <w:rPr>
          <w:rFonts w:eastAsia="Calibri" w:cs="Times New Roman"/>
          <w:sz w:val="20"/>
          <w:szCs w:val="20"/>
          <w:lang w:val="en-GB"/>
        </w:rPr>
        <w:t xml:space="preserve">Notes: </w:t>
      </w:r>
      <w:r w:rsidRPr="0009669D">
        <w:rPr>
          <w:rFonts w:eastAsia="Calibri" w:cs="Times New Roman"/>
          <w:i/>
          <w:sz w:val="20"/>
          <w:szCs w:val="20"/>
          <w:lang w:val="en-GB"/>
        </w:rPr>
        <w:t>Obs.</w:t>
      </w:r>
      <w:r w:rsidRPr="0009669D">
        <w:rPr>
          <w:rFonts w:eastAsia="Calibri" w:cs="Times New Roman"/>
          <w:sz w:val="20"/>
          <w:szCs w:val="20"/>
          <w:lang w:val="en-GB"/>
        </w:rPr>
        <w:t xml:space="preserve"> denotes number of observations. </w:t>
      </w:r>
      <w:proofErr w:type="gramStart"/>
      <w:r w:rsidRPr="0009669D">
        <w:rPr>
          <w:rFonts w:eastAsia="Calibri" w:cs="Times New Roman"/>
          <w:i/>
          <w:sz w:val="20"/>
          <w:szCs w:val="20"/>
          <w:lang w:val="en-GB"/>
        </w:rPr>
        <w:t>Min.</w:t>
      </w:r>
      <w:r w:rsidRPr="0009669D">
        <w:rPr>
          <w:rFonts w:eastAsia="Calibri" w:cs="Times New Roman"/>
          <w:sz w:val="20"/>
          <w:szCs w:val="20"/>
          <w:lang w:val="en-GB"/>
        </w:rPr>
        <w:t xml:space="preserve"> and </w:t>
      </w:r>
      <w:r w:rsidRPr="0009669D">
        <w:rPr>
          <w:rFonts w:eastAsia="Calibri" w:cs="Times New Roman"/>
          <w:i/>
          <w:sz w:val="20"/>
          <w:szCs w:val="20"/>
          <w:lang w:val="en-GB"/>
        </w:rPr>
        <w:t>Max.</w:t>
      </w:r>
      <w:proofErr w:type="gramEnd"/>
      <w:r w:rsidRPr="0009669D">
        <w:rPr>
          <w:rFonts w:eastAsia="Calibri" w:cs="Times New Roman"/>
          <w:sz w:val="20"/>
          <w:szCs w:val="20"/>
          <w:lang w:val="en-GB"/>
        </w:rPr>
        <w:t xml:space="preserve"> </w:t>
      </w:r>
      <w:proofErr w:type="gramStart"/>
      <w:r w:rsidRPr="0009669D">
        <w:rPr>
          <w:rFonts w:eastAsia="Calibri" w:cs="Times New Roman"/>
          <w:sz w:val="20"/>
          <w:szCs w:val="20"/>
          <w:lang w:val="en-GB"/>
        </w:rPr>
        <w:t>denote</w:t>
      </w:r>
      <w:proofErr w:type="gramEnd"/>
      <w:r w:rsidRPr="0009669D">
        <w:rPr>
          <w:rFonts w:eastAsia="Calibri" w:cs="Times New Roman"/>
          <w:sz w:val="20"/>
          <w:szCs w:val="20"/>
          <w:lang w:val="en-GB"/>
        </w:rPr>
        <w:t xml:space="preserve"> </w:t>
      </w:r>
      <w:proofErr w:type="spellStart"/>
      <w:r w:rsidRPr="0009669D">
        <w:rPr>
          <w:rFonts w:eastAsia="Calibri" w:cs="Times New Roman"/>
          <w:sz w:val="20"/>
          <w:szCs w:val="20"/>
          <w:lang w:val="en-GB"/>
        </w:rPr>
        <w:t>minimun</w:t>
      </w:r>
      <w:proofErr w:type="spellEnd"/>
      <w:r w:rsidRPr="0009669D">
        <w:rPr>
          <w:rFonts w:eastAsia="Calibri" w:cs="Times New Roman"/>
          <w:sz w:val="20"/>
          <w:szCs w:val="20"/>
          <w:lang w:val="en-GB"/>
        </w:rPr>
        <w:t xml:space="preserve"> and </w:t>
      </w:r>
      <w:proofErr w:type="spellStart"/>
      <w:r w:rsidRPr="0009669D">
        <w:rPr>
          <w:rFonts w:eastAsia="Calibri" w:cs="Times New Roman"/>
          <w:sz w:val="20"/>
          <w:szCs w:val="20"/>
          <w:lang w:val="en-GB"/>
        </w:rPr>
        <w:t>maximun</w:t>
      </w:r>
      <w:proofErr w:type="spellEnd"/>
      <w:r w:rsidRPr="0009669D">
        <w:rPr>
          <w:rFonts w:eastAsia="Calibri" w:cs="Times New Roman"/>
          <w:sz w:val="20"/>
          <w:szCs w:val="20"/>
          <w:lang w:val="en-GB"/>
        </w:rPr>
        <w:t xml:space="preserve"> value, respectively. </w:t>
      </w:r>
      <w:r w:rsidR="001F0647" w:rsidRPr="0009669D">
        <w:rPr>
          <w:rFonts w:eastAsia="Calibri" w:cs="Times New Roman"/>
          <w:sz w:val="20"/>
          <w:szCs w:val="20"/>
          <w:lang w:val="en-GB"/>
        </w:rPr>
        <w:t>Growth is calculated through the logarithmic difference of each variable.</w:t>
      </w:r>
    </w:p>
    <w:p w14:paraId="15E6EB4E" w14:textId="698FA2BA" w:rsidR="00AC4F5B" w:rsidRPr="0009669D" w:rsidRDefault="00BF684D" w:rsidP="0070319D">
      <w:pPr>
        <w:ind w:firstLine="0"/>
        <w:rPr>
          <w:lang w:val="en-GB"/>
        </w:rPr>
      </w:pPr>
      <w:r w:rsidRPr="001461CC">
        <w:rPr>
          <w:lang w:val="en-GB"/>
        </w:rPr>
        <w:t xml:space="preserve">Another issue that concerns that type of study is </w:t>
      </w:r>
      <w:r w:rsidR="00AC4F5B" w:rsidRPr="001461CC">
        <w:rPr>
          <w:lang w:val="en-GB"/>
        </w:rPr>
        <w:t>the correlation matrix</w:t>
      </w:r>
      <w:r w:rsidRPr="001461CC">
        <w:rPr>
          <w:lang w:val="en-GB"/>
        </w:rPr>
        <w:t>, a</w:t>
      </w:r>
      <w:r w:rsidR="00AC4F5B" w:rsidRPr="001461CC">
        <w:rPr>
          <w:lang w:val="en-GB"/>
        </w:rPr>
        <w:t xml:space="preserve">ccording to </w:t>
      </w:r>
      <w:proofErr w:type="spellStart"/>
      <w:r w:rsidR="00AC4F5B" w:rsidRPr="001461CC">
        <w:rPr>
          <w:lang w:val="en-GB"/>
        </w:rPr>
        <w:t>Aivazian</w:t>
      </w:r>
      <w:proofErr w:type="spellEnd"/>
      <w:r w:rsidR="00AC4F5B" w:rsidRPr="001461CC">
        <w:rPr>
          <w:lang w:val="en-GB"/>
        </w:rPr>
        <w:t xml:space="preserve"> et al. (2005) there is a problem of collinearity between the variables when the correlation coefficients are greater than 30%, starting from this postulate and using a level of significance of 5% we found no correlation between the variables that explain the relationships between size and growth.</w:t>
      </w:r>
    </w:p>
    <w:p w14:paraId="30449576" w14:textId="52269DCB" w:rsidR="005E6C21" w:rsidRPr="0009669D" w:rsidRDefault="005E6C21" w:rsidP="005E6C21">
      <w:pPr>
        <w:pStyle w:val="Prrafodelista"/>
        <w:numPr>
          <w:ilvl w:val="1"/>
          <w:numId w:val="19"/>
        </w:numPr>
        <w:spacing w:after="0"/>
        <w:rPr>
          <w:b/>
          <w:lang w:val="en-GB"/>
        </w:rPr>
      </w:pPr>
      <w:r w:rsidRPr="0009669D">
        <w:rPr>
          <w:b/>
          <w:lang w:val="en-GB"/>
        </w:rPr>
        <w:t>Multivariate analysis</w:t>
      </w:r>
    </w:p>
    <w:p w14:paraId="26965163" w14:textId="77777777" w:rsidR="005E6C21" w:rsidRPr="0009669D" w:rsidRDefault="005E6C21" w:rsidP="00EA2491">
      <w:pPr>
        <w:spacing w:after="0"/>
        <w:ind w:firstLine="0"/>
        <w:rPr>
          <w:lang w:val="en-GB"/>
        </w:rPr>
      </w:pPr>
    </w:p>
    <w:p w14:paraId="7196E0A7" w14:textId="77777777" w:rsidR="00415057" w:rsidRPr="0009669D" w:rsidRDefault="005E6C21" w:rsidP="0070319D">
      <w:pPr>
        <w:ind w:firstLine="0"/>
        <w:rPr>
          <w:lang w:val="en-GB"/>
        </w:rPr>
      </w:pPr>
      <w:r w:rsidRPr="0009669D">
        <w:rPr>
          <w:lang w:val="en-GB"/>
        </w:rPr>
        <w:t>Table 6 and Table 7 present the results obtained from the estimations using quantile regressions for panel data. These results allow evaluating the effect of size on the distribution of the company's growth rate. From which it can be seen that the results vary according to the position of the company throughout the distribution (Coad et al., 2016).</w:t>
      </w:r>
    </w:p>
    <w:p w14:paraId="51406D4E" w14:textId="3DB00714" w:rsidR="00326D11" w:rsidRPr="0009669D" w:rsidRDefault="00326D11" w:rsidP="0070319D">
      <w:pPr>
        <w:ind w:firstLine="0"/>
        <w:rPr>
          <w:lang w:val="en-GB"/>
        </w:rPr>
      </w:pPr>
      <w:r w:rsidRPr="0009669D">
        <w:rPr>
          <w:lang w:val="en-GB"/>
        </w:rPr>
        <w:t xml:space="preserve">It can be seen that the size of the company measured through sales and the number of employees lagged a period has a significant negative effect on all quantiles, except in the quantile 0.90 for sales, in which there is no relationship. In addition, in both cases it can be seen that β are less than 0, which indicates that small companies have higher growth than larger companies, so Gibrat's Law is not fulfilled and, as a result, hypothesis 1 is rejected, this finding is in agreement with the results of Coad (2008), Piergiovanni (2010) and </w:t>
      </w:r>
      <w:proofErr w:type="spellStart"/>
      <w:r w:rsidRPr="0009669D">
        <w:rPr>
          <w:lang w:val="en-GB"/>
        </w:rPr>
        <w:t>Levratto</w:t>
      </w:r>
      <w:proofErr w:type="spellEnd"/>
      <w:r w:rsidRPr="0009669D">
        <w:rPr>
          <w:lang w:val="en-GB"/>
        </w:rPr>
        <w:t xml:space="preserve"> et al. (2010) analy</w:t>
      </w:r>
      <w:r w:rsidR="0009669D">
        <w:rPr>
          <w:lang w:val="en-GB"/>
        </w:rPr>
        <w:t>s</w:t>
      </w:r>
      <w:r w:rsidRPr="0009669D">
        <w:rPr>
          <w:lang w:val="en-GB"/>
        </w:rPr>
        <w:t>ing manufacturing companies.</w:t>
      </w:r>
      <w:r w:rsidR="0009669D" w:rsidRPr="0009669D">
        <w:rPr>
          <w:lang w:val="en-GB"/>
        </w:rPr>
        <w:t xml:space="preserve"> </w:t>
      </w:r>
      <w:r w:rsidRPr="0009669D">
        <w:rPr>
          <w:lang w:val="en-GB"/>
        </w:rPr>
        <w:t xml:space="preserve">They also fit with the findings of </w:t>
      </w:r>
      <w:proofErr w:type="spellStart"/>
      <w:r w:rsidRPr="0009669D">
        <w:rPr>
          <w:lang w:val="en-GB"/>
        </w:rPr>
        <w:t>Daunfeldt</w:t>
      </w:r>
      <w:proofErr w:type="spellEnd"/>
      <w:r w:rsidRPr="0009669D">
        <w:rPr>
          <w:lang w:val="en-GB"/>
        </w:rPr>
        <w:t xml:space="preserve"> &amp; </w:t>
      </w:r>
      <w:proofErr w:type="spellStart"/>
      <w:r w:rsidRPr="0009669D">
        <w:rPr>
          <w:lang w:val="en-GB"/>
        </w:rPr>
        <w:t>Elert</w:t>
      </w:r>
      <w:proofErr w:type="spellEnd"/>
      <w:r w:rsidRPr="0009669D">
        <w:rPr>
          <w:lang w:val="en-GB"/>
        </w:rPr>
        <w:t xml:space="preserve"> (2013), </w:t>
      </w:r>
      <w:proofErr w:type="spellStart"/>
      <w:r w:rsidRPr="0009669D">
        <w:rPr>
          <w:lang w:val="en-GB"/>
        </w:rPr>
        <w:t>Segarra</w:t>
      </w:r>
      <w:proofErr w:type="spellEnd"/>
      <w:r w:rsidRPr="0009669D">
        <w:rPr>
          <w:lang w:val="en-GB"/>
        </w:rPr>
        <w:t xml:space="preserve"> &amp; </w:t>
      </w:r>
      <w:proofErr w:type="spellStart"/>
      <w:r w:rsidRPr="0009669D">
        <w:rPr>
          <w:lang w:val="en-GB"/>
        </w:rPr>
        <w:t>Teruel</w:t>
      </w:r>
      <w:proofErr w:type="spellEnd"/>
      <w:r w:rsidRPr="0009669D">
        <w:rPr>
          <w:lang w:val="en-GB"/>
        </w:rPr>
        <w:t xml:space="preserve"> (2014) and Simbaña et al. (2017) </w:t>
      </w:r>
      <w:proofErr w:type="spellStart"/>
      <w:r w:rsidRPr="0009669D">
        <w:rPr>
          <w:lang w:val="en-GB"/>
        </w:rPr>
        <w:t>analyzing</w:t>
      </w:r>
      <w:proofErr w:type="spellEnd"/>
      <w:r w:rsidRPr="0009669D">
        <w:rPr>
          <w:lang w:val="en-GB"/>
        </w:rPr>
        <w:t xml:space="preserve"> several economic sectors including manufacturing, and those of </w:t>
      </w:r>
      <w:proofErr w:type="spellStart"/>
      <w:r w:rsidRPr="0009669D">
        <w:rPr>
          <w:lang w:val="en-GB"/>
        </w:rPr>
        <w:t>Daunfeledt</w:t>
      </w:r>
      <w:proofErr w:type="spellEnd"/>
      <w:r w:rsidRPr="0009669D">
        <w:rPr>
          <w:lang w:val="en-GB"/>
        </w:rPr>
        <w:t xml:space="preserve"> et al. (2012) and </w:t>
      </w:r>
      <w:proofErr w:type="spellStart"/>
      <w:r w:rsidRPr="0009669D">
        <w:rPr>
          <w:lang w:val="en-GB"/>
        </w:rPr>
        <w:t>Almsafir</w:t>
      </w:r>
      <w:proofErr w:type="spellEnd"/>
      <w:r w:rsidRPr="0009669D">
        <w:rPr>
          <w:lang w:val="en-GB"/>
        </w:rPr>
        <w:t xml:space="preserve"> et al. (2015) analy</w:t>
      </w:r>
      <w:r w:rsidR="0009669D">
        <w:rPr>
          <w:lang w:val="en-GB"/>
        </w:rPr>
        <w:t>s</w:t>
      </w:r>
      <w:r w:rsidRPr="0009669D">
        <w:rPr>
          <w:lang w:val="en-GB"/>
        </w:rPr>
        <w:t xml:space="preserve">ing other economic sectors, different from manufacturing. </w:t>
      </w:r>
    </w:p>
    <w:p w14:paraId="471EFBBE" w14:textId="77777777" w:rsidR="00415057" w:rsidRPr="0009669D" w:rsidRDefault="00326D11" w:rsidP="0070319D">
      <w:pPr>
        <w:ind w:firstLine="0"/>
        <w:rPr>
          <w:lang w:val="en-GB"/>
        </w:rPr>
      </w:pPr>
      <w:r w:rsidRPr="0009669D">
        <w:rPr>
          <w:lang w:val="en-GB"/>
        </w:rPr>
        <w:t>Regarding age (age), it can be observed that it has a significant positive impact for the median both for the growth measured through sales and for the number of employees, in addition the positive impact is also maintained in quantiles 0, 10 and 0.75 when the growth is measured through the number of employees. However, there is a significant negative relationship in the 0.25 quantile when growth is measured through sales and the number of employees.</w:t>
      </w:r>
      <w:r w:rsidR="0004654D" w:rsidRPr="0009669D">
        <w:rPr>
          <w:lang w:val="en-GB"/>
        </w:rPr>
        <w:t xml:space="preserve"> </w:t>
      </w:r>
      <w:r w:rsidRPr="0009669D">
        <w:rPr>
          <w:lang w:val="en-GB"/>
        </w:rPr>
        <w:t>While for the other quantiles not mentioned, it does not present any relation. Consequently, hypothesis 2 is rejected because the results are not conclusive because, according to the quantile, the relationship coefficient changes sign.</w:t>
      </w:r>
    </w:p>
    <w:p w14:paraId="0EB1CA9F" w14:textId="664F7E27" w:rsidR="00415057" w:rsidRPr="0009669D" w:rsidRDefault="002A4924" w:rsidP="0070319D">
      <w:pPr>
        <w:ind w:firstLine="0"/>
        <w:rPr>
          <w:lang w:val="en-GB"/>
        </w:rPr>
      </w:pPr>
      <w:r w:rsidRPr="0009669D">
        <w:rPr>
          <w:lang w:val="en-GB"/>
        </w:rPr>
        <w:t xml:space="preserve">The negative relationship, according to Calvo (2004) indicates that the youngest companies are those that experienced greater </w:t>
      </w:r>
      <w:r w:rsidR="0009669D" w:rsidRPr="0009669D">
        <w:rPr>
          <w:lang w:val="en-GB"/>
        </w:rPr>
        <w:t>growth;</w:t>
      </w:r>
      <w:r w:rsidRPr="0009669D">
        <w:rPr>
          <w:lang w:val="en-GB"/>
        </w:rPr>
        <w:t xml:space="preserve"> however, the growth of the company tends to decrease with age (</w:t>
      </w:r>
      <w:proofErr w:type="spellStart"/>
      <w:r w:rsidRPr="0009669D">
        <w:rPr>
          <w:lang w:val="en-GB"/>
        </w:rPr>
        <w:t>Levratto</w:t>
      </w:r>
      <w:proofErr w:type="spellEnd"/>
      <w:r w:rsidRPr="0009669D">
        <w:rPr>
          <w:lang w:val="en-GB"/>
        </w:rPr>
        <w:t xml:space="preserve"> et al., 2010). While the positive relationship of age shows that mature companies have the highest growth rates, which is </w:t>
      </w:r>
      <w:r w:rsidRPr="0009669D">
        <w:rPr>
          <w:lang w:val="en-GB"/>
        </w:rPr>
        <w:lastRenderedPageBreak/>
        <w:t>explained by the theory of learning through time, which holds that companies gradually learn their relative efficiency after enter the market and need to grow at a higher rate if they want to survive (</w:t>
      </w:r>
      <w:proofErr w:type="spellStart"/>
      <w:r w:rsidRPr="0009669D">
        <w:rPr>
          <w:lang w:val="en-GB"/>
        </w:rPr>
        <w:t>Jovanovic</w:t>
      </w:r>
      <w:proofErr w:type="spellEnd"/>
      <w:r w:rsidRPr="0009669D">
        <w:rPr>
          <w:lang w:val="en-GB"/>
        </w:rPr>
        <w:t>, 1982).</w:t>
      </w:r>
    </w:p>
    <w:p w14:paraId="094CE0FF" w14:textId="685BDACB" w:rsidR="00277E6E" w:rsidRPr="0009669D" w:rsidRDefault="007370F6" w:rsidP="0070319D">
      <w:pPr>
        <w:ind w:firstLine="0"/>
        <w:rPr>
          <w:lang w:val="en-GB"/>
        </w:rPr>
      </w:pPr>
      <w:r w:rsidRPr="0009669D">
        <w:rPr>
          <w:lang w:val="en-GB"/>
        </w:rPr>
        <w:t>In terms of financial performance represented by capital growth (</w:t>
      </w:r>
      <w:proofErr w:type="spellStart"/>
      <w:r w:rsidRPr="0009669D">
        <w:rPr>
          <w:lang w:val="en-GB"/>
        </w:rPr>
        <w:t>gk</w:t>
      </w:r>
      <w:proofErr w:type="spellEnd"/>
      <w:r w:rsidRPr="0009669D">
        <w:rPr>
          <w:lang w:val="en-GB"/>
        </w:rPr>
        <w:t>) shows a significant positive relationship in the 0.25 quantile when growth is measured through sales and quantile 0.10 when this is measured through the employees, likewise in both cases there is a significant positive relationship in the median.</w:t>
      </w:r>
      <w:r w:rsidR="0004654D" w:rsidRPr="0009669D">
        <w:rPr>
          <w:lang w:val="en-GB"/>
        </w:rPr>
        <w:t xml:space="preserve"> </w:t>
      </w:r>
      <w:r w:rsidRPr="0009669D">
        <w:rPr>
          <w:lang w:val="en-GB"/>
        </w:rPr>
        <w:t>However, in the growth model by the number of employees a significant negative relation is observed in the 0.25 quantile. Consequently, hypothesis 3 is rejected because the results are inconclusive.</w:t>
      </w:r>
      <w:r w:rsidR="0009669D" w:rsidRPr="0009669D">
        <w:rPr>
          <w:lang w:val="en-GB"/>
        </w:rPr>
        <w:t xml:space="preserve"> </w:t>
      </w:r>
      <w:r w:rsidRPr="0009669D">
        <w:rPr>
          <w:lang w:val="en-GB"/>
        </w:rPr>
        <w:t xml:space="preserve">According to </w:t>
      </w:r>
      <w:proofErr w:type="spellStart"/>
      <w:r w:rsidRPr="0009669D">
        <w:rPr>
          <w:lang w:val="en-GB"/>
        </w:rPr>
        <w:t>Doms</w:t>
      </w:r>
      <w:proofErr w:type="spellEnd"/>
      <w:r w:rsidRPr="0009669D">
        <w:rPr>
          <w:lang w:val="en-GB"/>
        </w:rPr>
        <w:t xml:space="preserve"> et al. (1995) the positive relationship means that the intensity of capital encourages companies to grow if they want to survive, being a motivator of business growth. While the negative relationship between capital and the growth of companies indicates that this variable acts as a barrier to growth and increases the probability of exit from the company (</w:t>
      </w:r>
      <w:proofErr w:type="spellStart"/>
      <w:r w:rsidRPr="0009669D">
        <w:rPr>
          <w:lang w:val="en-GB"/>
        </w:rPr>
        <w:t>Carrizosa</w:t>
      </w:r>
      <w:proofErr w:type="spellEnd"/>
      <w:r w:rsidRPr="0009669D">
        <w:rPr>
          <w:lang w:val="en-GB"/>
        </w:rPr>
        <w:t>, 2007).</w:t>
      </w:r>
    </w:p>
    <w:p w14:paraId="4FF61B9B" w14:textId="77777777" w:rsidR="00415057" w:rsidRPr="0009669D" w:rsidRDefault="00415057" w:rsidP="00415057">
      <w:pPr>
        <w:pStyle w:val="Ttulotablasygrficos"/>
        <w:keepNext/>
        <w:spacing w:line="276" w:lineRule="auto"/>
        <w:ind w:firstLine="0"/>
        <w:rPr>
          <w:lang w:val="en-GB"/>
        </w:rPr>
      </w:pPr>
      <w:bookmarkStart w:id="5" w:name="_Ref508116015"/>
      <w:r w:rsidRPr="0009669D">
        <w:rPr>
          <w:lang w:val="en-GB"/>
        </w:rPr>
        <w:t xml:space="preserve">Table </w:t>
      </w:r>
      <w:r w:rsidRPr="0009669D">
        <w:rPr>
          <w:noProof/>
          <w:lang w:val="en-GB"/>
        </w:rPr>
        <w:t>6</w:t>
      </w:r>
      <w:bookmarkEnd w:id="5"/>
      <w:r w:rsidRPr="0009669D">
        <w:rPr>
          <w:lang w:val="en-GB"/>
        </w:rPr>
        <w:t>. Fixed effects estimates on sales growth</w:t>
      </w: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415057" w:rsidRPr="0009669D" w14:paraId="54088ED8" w14:textId="77777777" w:rsidTr="00C200CC">
        <w:trPr>
          <w:trHeight w:val="315"/>
          <w:jc w:val="center"/>
        </w:trPr>
        <w:tc>
          <w:tcPr>
            <w:tcW w:w="1200" w:type="dxa"/>
            <w:tcBorders>
              <w:top w:val="single" w:sz="8" w:space="0" w:color="auto"/>
              <w:left w:val="nil"/>
              <w:bottom w:val="single" w:sz="8" w:space="0" w:color="auto"/>
              <w:right w:val="nil"/>
            </w:tcBorders>
            <w:shd w:val="clear" w:color="000000" w:fill="FFFFFF"/>
            <w:noWrap/>
            <w:vAlign w:val="center"/>
            <w:hideMark/>
          </w:tcPr>
          <w:p w14:paraId="2F8DEB3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Variable</w:t>
            </w:r>
          </w:p>
        </w:tc>
        <w:tc>
          <w:tcPr>
            <w:tcW w:w="1200" w:type="dxa"/>
            <w:tcBorders>
              <w:top w:val="single" w:sz="8" w:space="0" w:color="auto"/>
              <w:left w:val="nil"/>
              <w:bottom w:val="single" w:sz="8" w:space="0" w:color="auto"/>
              <w:right w:val="nil"/>
            </w:tcBorders>
            <w:shd w:val="clear" w:color="000000" w:fill="FFFFFF"/>
            <w:noWrap/>
            <w:vAlign w:val="center"/>
            <w:hideMark/>
          </w:tcPr>
          <w:p w14:paraId="72866C82"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QR_10</w:t>
            </w:r>
          </w:p>
        </w:tc>
        <w:tc>
          <w:tcPr>
            <w:tcW w:w="1200" w:type="dxa"/>
            <w:tcBorders>
              <w:top w:val="single" w:sz="8" w:space="0" w:color="auto"/>
              <w:left w:val="nil"/>
              <w:bottom w:val="single" w:sz="8" w:space="0" w:color="auto"/>
              <w:right w:val="nil"/>
            </w:tcBorders>
            <w:shd w:val="clear" w:color="000000" w:fill="FFFFFF"/>
            <w:noWrap/>
            <w:vAlign w:val="center"/>
            <w:hideMark/>
          </w:tcPr>
          <w:p w14:paraId="29FD9FE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QR_25</w:t>
            </w:r>
          </w:p>
        </w:tc>
        <w:tc>
          <w:tcPr>
            <w:tcW w:w="1200" w:type="dxa"/>
            <w:tcBorders>
              <w:top w:val="single" w:sz="8" w:space="0" w:color="auto"/>
              <w:left w:val="nil"/>
              <w:bottom w:val="single" w:sz="8" w:space="0" w:color="auto"/>
              <w:right w:val="nil"/>
            </w:tcBorders>
            <w:shd w:val="clear" w:color="000000" w:fill="FFFFFF"/>
            <w:noWrap/>
            <w:vAlign w:val="center"/>
            <w:hideMark/>
          </w:tcPr>
          <w:p w14:paraId="01EC3152"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QR_50</w:t>
            </w:r>
          </w:p>
        </w:tc>
        <w:tc>
          <w:tcPr>
            <w:tcW w:w="1200" w:type="dxa"/>
            <w:tcBorders>
              <w:top w:val="single" w:sz="8" w:space="0" w:color="auto"/>
              <w:left w:val="nil"/>
              <w:bottom w:val="single" w:sz="8" w:space="0" w:color="auto"/>
              <w:right w:val="nil"/>
            </w:tcBorders>
            <w:shd w:val="clear" w:color="000000" w:fill="FFFFFF"/>
            <w:noWrap/>
            <w:vAlign w:val="center"/>
            <w:hideMark/>
          </w:tcPr>
          <w:p w14:paraId="5D2CC671"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QR_75</w:t>
            </w:r>
          </w:p>
        </w:tc>
        <w:tc>
          <w:tcPr>
            <w:tcW w:w="1200" w:type="dxa"/>
            <w:tcBorders>
              <w:top w:val="single" w:sz="8" w:space="0" w:color="auto"/>
              <w:left w:val="nil"/>
              <w:bottom w:val="single" w:sz="8" w:space="0" w:color="auto"/>
              <w:right w:val="nil"/>
            </w:tcBorders>
            <w:shd w:val="clear" w:color="000000" w:fill="FFFFFF"/>
            <w:noWrap/>
            <w:vAlign w:val="center"/>
            <w:hideMark/>
          </w:tcPr>
          <w:p w14:paraId="19C5CAF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QR_90</w:t>
            </w:r>
          </w:p>
        </w:tc>
      </w:tr>
      <w:tr w:rsidR="00415057" w:rsidRPr="0009669D" w14:paraId="329CBB6F" w14:textId="77777777" w:rsidTr="00C200CC">
        <w:trPr>
          <w:trHeight w:val="300"/>
          <w:jc w:val="center"/>
        </w:trPr>
        <w:tc>
          <w:tcPr>
            <w:tcW w:w="1200" w:type="dxa"/>
            <w:tcBorders>
              <w:top w:val="nil"/>
              <w:left w:val="nil"/>
              <w:bottom w:val="nil"/>
              <w:right w:val="nil"/>
            </w:tcBorders>
            <w:shd w:val="clear" w:color="000000" w:fill="FFFFFF"/>
            <w:noWrap/>
            <w:vAlign w:val="center"/>
            <w:hideMark/>
          </w:tcPr>
          <w:p w14:paraId="675CCCE2"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roofErr w:type="spellStart"/>
            <w:r w:rsidRPr="0009669D">
              <w:rPr>
                <w:rFonts w:eastAsia="Times New Roman" w:cs="Times New Roman"/>
                <w:b/>
                <w:bCs/>
                <w:color w:val="000000"/>
                <w:sz w:val="20"/>
                <w:szCs w:val="20"/>
                <w:lang w:val="en-GB" w:eastAsia="es-ES"/>
              </w:rPr>
              <w:t>llns</w:t>
            </w:r>
            <w:proofErr w:type="spellEnd"/>
          </w:p>
        </w:tc>
        <w:tc>
          <w:tcPr>
            <w:tcW w:w="1200" w:type="dxa"/>
            <w:tcBorders>
              <w:top w:val="nil"/>
              <w:left w:val="nil"/>
              <w:bottom w:val="nil"/>
              <w:right w:val="nil"/>
            </w:tcBorders>
            <w:shd w:val="clear" w:color="000000" w:fill="FFFFFF"/>
            <w:noWrap/>
            <w:vAlign w:val="center"/>
            <w:hideMark/>
          </w:tcPr>
          <w:p w14:paraId="6E2CE0D3"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-0.990***</w:t>
            </w:r>
          </w:p>
        </w:tc>
        <w:tc>
          <w:tcPr>
            <w:tcW w:w="1200" w:type="dxa"/>
            <w:tcBorders>
              <w:top w:val="nil"/>
              <w:left w:val="nil"/>
              <w:bottom w:val="nil"/>
              <w:right w:val="nil"/>
            </w:tcBorders>
            <w:shd w:val="clear" w:color="000000" w:fill="FFFFFF"/>
            <w:noWrap/>
            <w:vAlign w:val="center"/>
            <w:hideMark/>
          </w:tcPr>
          <w:p w14:paraId="4AB9FFF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-0.869***</w:t>
            </w:r>
          </w:p>
        </w:tc>
        <w:tc>
          <w:tcPr>
            <w:tcW w:w="1200" w:type="dxa"/>
            <w:tcBorders>
              <w:top w:val="nil"/>
              <w:left w:val="nil"/>
              <w:bottom w:val="nil"/>
              <w:right w:val="nil"/>
            </w:tcBorders>
            <w:shd w:val="clear" w:color="000000" w:fill="FFFFFF"/>
            <w:noWrap/>
            <w:vAlign w:val="center"/>
            <w:hideMark/>
          </w:tcPr>
          <w:p w14:paraId="5C9E077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-0.778***</w:t>
            </w:r>
          </w:p>
        </w:tc>
        <w:tc>
          <w:tcPr>
            <w:tcW w:w="1200" w:type="dxa"/>
            <w:tcBorders>
              <w:top w:val="nil"/>
              <w:left w:val="nil"/>
              <w:bottom w:val="nil"/>
              <w:right w:val="nil"/>
            </w:tcBorders>
            <w:shd w:val="clear" w:color="000000" w:fill="FFFFFF"/>
            <w:noWrap/>
            <w:vAlign w:val="center"/>
            <w:hideMark/>
          </w:tcPr>
          <w:p w14:paraId="359049E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-0.809***</w:t>
            </w:r>
          </w:p>
        </w:tc>
        <w:tc>
          <w:tcPr>
            <w:tcW w:w="1200" w:type="dxa"/>
            <w:tcBorders>
              <w:top w:val="nil"/>
              <w:left w:val="nil"/>
              <w:bottom w:val="nil"/>
              <w:right w:val="nil"/>
            </w:tcBorders>
            <w:shd w:val="clear" w:color="000000" w:fill="FFFFFF"/>
            <w:noWrap/>
            <w:vAlign w:val="center"/>
            <w:hideMark/>
          </w:tcPr>
          <w:p w14:paraId="7B70D4B2"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-2.047</w:t>
            </w:r>
          </w:p>
        </w:tc>
      </w:tr>
      <w:tr w:rsidR="00415057" w:rsidRPr="0009669D" w14:paraId="30044FA5" w14:textId="77777777" w:rsidTr="00C200CC">
        <w:trPr>
          <w:trHeight w:val="300"/>
          <w:jc w:val="center"/>
        </w:trPr>
        <w:tc>
          <w:tcPr>
            <w:tcW w:w="1200" w:type="dxa"/>
            <w:tcBorders>
              <w:top w:val="nil"/>
              <w:left w:val="nil"/>
              <w:bottom w:val="nil"/>
              <w:right w:val="nil"/>
            </w:tcBorders>
            <w:shd w:val="clear" w:color="000000" w:fill="FFFFFF"/>
            <w:noWrap/>
            <w:vAlign w:val="center"/>
            <w:hideMark/>
          </w:tcPr>
          <w:p w14:paraId="41CF5416"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center"/>
            <w:hideMark/>
          </w:tcPr>
          <w:p w14:paraId="49D9A3C3"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0.071</w:t>
            </w:r>
          </w:p>
        </w:tc>
        <w:tc>
          <w:tcPr>
            <w:tcW w:w="1200" w:type="dxa"/>
            <w:tcBorders>
              <w:top w:val="nil"/>
              <w:left w:val="nil"/>
              <w:bottom w:val="nil"/>
              <w:right w:val="nil"/>
            </w:tcBorders>
            <w:shd w:val="clear" w:color="000000" w:fill="FFFFFF"/>
            <w:noWrap/>
            <w:vAlign w:val="center"/>
            <w:hideMark/>
          </w:tcPr>
          <w:p w14:paraId="3D6C4C8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0.040</w:t>
            </w:r>
          </w:p>
        </w:tc>
        <w:tc>
          <w:tcPr>
            <w:tcW w:w="1200" w:type="dxa"/>
            <w:tcBorders>
              <w:top w:val="nil"/>
              <w:left w:val="nil"/>
              <w:bottom w:val="nil"/>
              <w:right w:val="nil"/>
            </w:tcBorders>
            <w:shd w:val="clear" w:color="000000" w:fill="FFFFFF"/>
            <w:noWrap/>
            <w:vAlign w:val="center"/>
            <w:hideMark/>
          </w:tcPr>
          <w:p w14:paraId="7EC0A4F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0.036</w:t>
            </w:r>
          </w:p>
        </w:tc>
        <w:tc>
          <w:tcPr>
            <w:tcW w:w="1200" w:type="dxa"/>
            <w:tcBorders>
              <w:top w:val="nil"/>
              <w:left w:val="nil"/>
              <w:bottom w:val="nil"/>
              <w:right w:val="nil"/>
            </w:tcBorders>
            <w:shd w:val="clear" w:color="000000" w:fill="FFFFFF"/>
            <w:noWrap/>
            <w:vAlign w:val="center"/>
            <w:hideMark/>
          </w:tcPr>
          <w:p w14:paraId="3F859456"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0.045</w:t>
            </w:r>
          </w:p>
        </w:tc>
        <w:tc>
          <w:tcPr>
            <w:tcW w:w="1200" w:type="dxa"/>
            <w:tcBorders>
              <w:top w:val="nil"/>
              <w:left w:val="nil"/>
              <w:bottom w:val="nil"/>
              <w:right w:val="nil"/>
            </w:tcBorders>
            <w:shd w:val="clear" w:color="000000" w:fill="FFFFFF"/>
            <w:noWrap/>
            <w:vAlign w:val="center"/>
            <w:hideMark/>
          </w:tcPr>
          <w:p w14:paraId="029883C8"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1.495</w:t>
            </w:r>
          </w:p>
        </w:tc>
      </w:tr>
      <w:tr w:rsidR="00415057" w:rsidRPr="0009669D" w14:paraId="67DD37A1" w14:textId="77777777" w:rsidTr="00C200CC">
        <w:trPr>
          <w:trHeight w:val="300"/>
          <w:jc w:val="center"/>
        </w:trPr>
        <w:tc>
          <w:tcPr>
            <w:tcW w:w="1200" w:type="dxa"/>
            <w:tcBorders>
              <w:top w:val="nil"/>
              <w:left w:val="nil"/>
              <w:bottom w:val="nil"/>
              <w:right w:val="nil"/>
            </w:tcBorders>
            <w:shd w:val="clear" w:color="000000" w:fill="FFFFFF"/>
            <w:noWrap/>
            <w:vAlign w:val="center"/>
            <w:hideMark/>
          </w:tcPr>
          <w:p w14:paraId="30704B6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center"/>
            <w:hideMark/>
          </w:tcPr>
          <w:p w14:paraId="5F0A875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center"/>
            <w:hideMark/>
          </w:tcPr>
          <w:p w14:paraId="31F5E56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center"/>
            <w:hideMark/>
          </w:tcPr>
          <w:p w14:paraId="416F4683"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center"/>
            <w:hideMark/>
          </w:tcPr>
          <w:p w14:paraId="64F0E71B"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center"/>
            <w:hideMark/>
          </w:tcPr>
          <w:p w14:paraId="08DED6A5"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(0.171)</w:t>
            </w:r>
          </w:p>
        </w:tc>
      </w:tr>
      <w:tr w:rsidR="00415057" w:rsidRPr="0009669D" w14:paraId="42F5DCA6" w14:textId="77777777" w:rsidTr="00C200CC">
        <w:trPr>
          <w:trHeight w:val="300"/>
          <w:jc w:val="center"/>
        </w:trPr>
        <w:tc>
          <w:tcPr>
            <w:tcW w:w="1200" w:type="dxa"/>
            <w:tcBorders>
              <w:top w:val="nil"/>
              <w:left w:val="nil"/>
              <w:bottom w:val="nil"/>
              <w:right w:val="nil"/>
            </w:tcBorders>
            <w:shd w:val="clear" w:color="000000" w:fill="FFFFFF"/>
            <w:noWrap/>
            <w:vAlign w:val="center"/>
            <w:hideMark/>
          </w:tcPr>
          <w:p w14:paraId="2CAC047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age</w:t>
            </w:r>
          </w:p>
        </w:tc>
        <w:tc>
          <w:tcPr>
            <w:tcW w:w="1200" w:type="dxa"/>
            <w:tcBorders>
              <w:top w:val="nil"/>
              <w:left w:val="nil"/>
              <w:bottom w:val="nil"/>
              <w:right w:val="nil"/>
            </w:tcBorders>
            <w:shd w:val="clear" w:color="000000" w:fill="FFFFFF"/>
            <w:noWrap/>
            <w:vAlign w:val="center"/>
            <w:hideMark/>
          </w:tcPr>
          <w:p w14:paraId="5E340F1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-0.014</w:t>
            </w:r>
          </w:p>
        </w:tc>
        <w:tc>
          <w:tcPr>
            <w:tcW w:w="1200" w:type="dxa"/>
            <w:tcBorders>
              <w:top w:val="nil"/>
              <w:left w:val="nil"/>
              <w:bottom w:val="nil"/>
              <w:right w:val="nil"/>
            </w:tcBorders>
            <w:shd w:val="clear" w:color="000000" w:fill="FFFFFF"/>
            <w:noWrap/>
            <w:vAlign w:val="center"/>
            <w:hideMark/>
          </w:tcPr>
          <w:p w14:paraId="0E32BDBF"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-0.009*</w:t>
            </w:r>
          </w:p>
        </w:tc>
        <w:tc>
          <w:tcPr>
            <w:tcW w:w="1200" w:type="dxa"/>
            <w:tcBorders>
              <w:top w:val="nil"/>
              <w:left w:val="nil"/>
              <w:bottom w:val="nil"/>
              <w:right w:val="nil"/>
            </w:tcBorders>
            <w:shd w:val="clear" w:color="000000" w:fill="FFFFFF"/>
            <w:noWrap/>
            <w:vAlign w:val="center"/>
            <w:hideMark/>
          </w:tcPr>
          <w:p w14:paraId="4BA5EF33"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0.032***</w:t>
            </w:r>
          </w:p>
        </w:tc>
        <w:tc>
          <w:tcPr>
            <w:tcW w:w="1200" w:type="dxa"/>
            <w:tcBorders>
              <w:top w:val="nil"/>
              <w:left w:val="nil"/>
              <w:bottom w:val="nil"/>
              <w:right w:val="nil"/>
            </w:tcBorders>
            <w:shd w:val="clear" w:color="000000" w:fill="FFFFFF"/>
            <w:noWrap/>
            <w:vAlign w:val="center"/>
            <w:hideMark/>
          </w:tcPr>
          <w:p w14:paraId="37D654D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0.008</w:t>
            </w:r>
          </w:p>
        </w:tc>
        <w:tc>
          <w:tcPr>
            <w:tcW w:w="1200" w:type="dxa"/>
            <w:tcBorders>
              <w:top w:val="nil"/>
              <w:left w:val="nil"/>
              <w:bottom w:val="nil"/>
              <w:right w:val="nil"/>
            </w:tcBorders>
            <w:shd w:val="clear" w:color="000000" w:fill="FFFFFF"/>
            <w:noWrap/>
            <w:vAlign w:val="center"/>
            <w:hideMark/>
          </w:tcPr>
          <w:p w14:paraId="34808EDF"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-0.250</w:t>
            </w:r>
          </w:p>
        </w:tc>
      </w:tr>
      <w:tr w:rsidR="00415057" w:rsidRPr="0009669D" w14:paraId="1DBD74D1" w14:textId="77777777" w:rsidTr="00C200CC">
        <w:trPr>
          <w:trHeight w:val="300"/>
          <w:jc w:val="center"/>
        </w:trPr>
        <w:tc>
          <w:tcPr>
            <w:tcW w:w="1200" w:type="dxa"/>
            <w:tcBorders>
              <w:top w:val="nil"/>
              <w:left w:val="nil"/>
              <w:bottom w:val="nil"/>
              <w:right w:val="nil"/>
            </w:tcBorders>
            <w:shd w:val="clear" w:color="000000" w:fill="FFFFFF"/>
            <w:noWrap/>
            <w:vAlign w:val="center"/>
            <w:hideMark/>
          </w:tcPr>
          <w:p w14:paraId="6D1EABC3"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center"/>
            <w:hideMark/>
          </w:tcPr>
          <w:p w14:paraId="4CB0416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0.028</w:t>
            </w:r>
          </w:p>
        </w:tc>
        <w:tc>
          <w:tcPr>
            <w:tcW w:w="1200" w:type="dxa"/>
            <w:tcBorders>
              <w:top w:val="nil"/>
              <w:left w:val="nil"/>
              <w:bottom w:val="nil"/>
              <w:right w:val="nil"/>
            </w:tcBorders>
            <w:shd w:val="clear" w:color="000000" w:fill="FFFFFF"/>
            <w:noWrap/>
            <w:vAlign w:val="center"/>
            <w:hideMark/>
          </w:tcPr>
          <w:p w14:paraId="20CA56C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0.004</w:t>
            </w:r>
          </w:p>
        </w:tc>
        <w:tc>
          <w:tcPr>
            <w:tcW w:w="1200" w:type="dxa"/>
            <w:tcBorders>
              <w:top w:val="nil"/>
              <w:left w:val="nil"/>
              <w:bottom w:val="nil"/>
              <w:right w:val="nil"/>
            </w:tcBorders>
            <w:shd w:val="clear" w:color="000000" w:fill="FFFFFF"/>
            <w:noWrap/>
            <w:vAlign w:val="center"/>
            <w:hideMark/>
          </w:tcPr>
          <w:p w14:paraId="0D70C168"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0.002</w:t>
            </w:r>
          </w:p>
        </w:tc>
        <w:tc>
          <w:tcPr>
            <w:tcW w:w="1200" w:type="dxa"/>
            <w:tcBorders>
              <w:top w:val="nil"/>
              <w:left w:val="nil"/>
              <w:bottom w:val="nil"/>
              <w:right w:val="nil"/>
            </w:tcBorders>
            <w:shd w:val="clear" w:color="000000" w:fill="FFFFFF"/>
            <w:noWrap/>
            <w:vAlign w:val="center"/>
            <w:hideMark/>
          </w:tcPr>
          <w:p w14:paraId="39B85879"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0.007</w:t>
            </w:r>
          </w:p>
        </w:tc>
        <w:tc>
          <w:tcPr>
            <w:tcW w:w="1200" w:type="dxa"/>
            <w:tcBorders>
              <w:top w:val="nil"/>
              <w:left w:val="nil"/>
              <w:bottom w:val="nil"/>
              <w:right w:val="nil"/>
            </w:tcBorders>
            <w:shd w:val="clear" w:color="000000" w:fill="FFFFFF"/>
            <w:noWrap/>
            <w:vAlign w:val="center"/>
            <w:hideMark/>
          </w:tcPr>
          <w:p w14:paraId="7026DB71"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0.310</w:t>
            </w:r>
          </w:p>
        </w:tc>
      </w:tr>
      <w:tr w:rsidR="00415057" w:rsidRPr="0009669D" w14:paraId="574F3B95" w14:textId="77777777" w:rsidTr="00C200CC">
        <w:trPr>
          <w:trHeight w:val="300"/>
          <w:jc w:val="center"/>
        </w:trPr>
        <w:tc>
          <w:tcPr>
            <w:tcW w:w="1200" w:type="dxa"/>
            <w:tcBorders>
              <w:top w:val="nil"/>
              <w:left w:val="nil"/>
              <w:bottom w:val="nil"/>
              <w:right w:val="nil"/>
            </w:tcBorders>
            <w:shd w:val="clear" w:color="000000" w:fill="FFFFFF"/>
            <w:noWrap/>
            <w:vAlign w:val="center"/>
            <w:hideMark/>
          </w:tcPr>
          <w:p w14:paraId="083725A9"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center"/>
            <w:hideMark/>
          </w:tcPr>
          <w:p w14:paraId="46AC6C8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(0.628)</w:t>
            </w:r>
          </w:p>
        </w:tc>
        <w:tc>
          <w:tcPr>
            <w:tcW w:w="1200" w:type="dxa"/>
            <w:tcBorders>
              <w:top w:val="nil"/>
              <w:left w:val="nil"/>
              <w:bottom w:val="nil"/>
              <w:right w:val="nil"/>
            </w:tcBorders>
            <w:shd w:val="clear" w:color="000000" w:fill="FFFFFF"/>
            <w:noWrap/>
            <w:vAlign w:val="center"/>
            <w:hideMark/>
          </w:tcPr>
          <w:p w14:paraId="5FCD6B36"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(0.017)</w:t>
            </w:r>
          </w:p>
        </w:tc>
        <w:tc>
          <w:tcPr>
            <w:tcW w:w="1200" w:type="dxa"/>
            <w:tcBorders>
              <w:top w:val="nil"/>
              <w:left w:val="nil"/>
              <w:bottom w:val="nil"/>
              <w:right w:val="nil"/>
            </w:tcBorders>
            <w:shd w:val="clear" w:color="000000" w:fill="FFFFFF"/>
            <w:noWrap/>
            <w:vAlign w:val="center"/>
            <w:hideMark/>
          </w:tcPr>
          <w:p w14:paraId="6696D879"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center"/>
            <w:hideMark/>
          </w:tcPr>
          <w:p w14:paraId="43FB7C5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(0.247)</w:t>
            </w:r>
          </w:p>
        </w:tc>
        <w:tc>
          <w:tcPr>
            <w:tcW w:w="1200" w:type="dxa"/>
            <w:tcBorders>
              <w:top w:val="nil"/>
              <w:left w:val="nil"/>
              <w:bottom w:val="nil"/>
              <w:right w:val="nil"/>
            </w:tcBorders>
            <w:shd w:val="clear" w:color="000000" w:fill="FFFFFF"/>
            <w:noWrap/>
            <w:vAlign w:val="center"/>
            <w:hideMark/>
          </w:tcPr>
          <w:p w14:paraId="21DDDC0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(0.420)</w:t>
            </w:r>
          </w:p>
        </w:tc>
      </w:tr>
      <w:tr w:rsidR="00415057" w:rsidRPr="0009669D" w14:paraId="634C0D7B" w14:textId="77777777" w:rsidTr="00C200CC">
        <w:trPr>
          <w:trHeight w:val="300"/>
          <w:jc w:val="center"/>
        </w:trPr>
        <w:tc>
          <w:tcPr>
            <w:tcW w:w="1200" w:type="dxa"/>
            <w:tcBorders>
              <w:top w:val="nil"/>
              <w:left w:val="nil"/>
              <w:bottom w:val="nil"/>
              <w:right w:val="nil"/>
            </w:tcBorders>
            <w:shd w:val="clear" w:color="000000" w:fill="FFFFFF"/>
            <w:noWrap/>
            <w:vAlign w:val="center"/>
            <w:hideMark/>
          </w:tcPr>
          <w:p w14:paraId="15AD95B4"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roofErr w:type="spellStart"/>
            <w:r w:rsidRPr="0009669D">
              <w:rPr>
                <w:rFonts w:eastAsia="Times New Roman" w:cs="Times New Roman"/>
                <w:b/>
                <w:bCs/>
                <w:color w:val="000000"/>
                <w:sz w:val="20"/>
                <w:szCs w:val="20"/>
                <w:lang w:val="en-GB" w:eastAsia="es-ES"/>
              </w:rPr>
              <w:t>gk</w:t>
            </w:r>
            <w:proofErr w:type="spellEnd"/>
          </w:p>
        </w:tc>
        <w:tc>
          <w:tcPr>
            <w:tcW w:w="1200" w:type="dxa"/>
            <w:tcBorders>
              <w:top w:val="nil"/>
              <w:left w:val="nil"/>
              <w:bottom w:val="nil"/>
              <w:right w:val="nil"/>
            </w:tcBorders>
            <w:shd w:val="clear" w:color="000000" w:fill="FFFFFF"/>
            <w:noWrap/>
            <w:vAlign w:val="center"/>
            <w:hideMark/>
          </w:tcPr>
          <w:p w14:paraId="3F54D45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-0.028</w:t>
            </w:r>
          </w:p>
        </w:tc>
        <w:tc>
          <w:tcPr>
            <w:tcW w:w="1200" w:type="dxa"/>
            <w:tcBorders>
              <w:top w:val="nil"/>
              <w:left w:val="nil"/>
              <w:bottom w:val="nil"/>
              <w:right w:val="nil"/>
            </w:tcBorders>
            <w:shd w:val="clear" w:color="000000" w:fill="FFFFFF"/>
            <w:noWrap/>
            <w:vAlign w:val="center"/>
            <w:hideMark/>
          </w:tcPr>
          <w:p w14:paraId="3461C433"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0.036**</w:t>
            </w:r>
          </w:p>
        </w:tc>
        <w:tc>
          <w:tcPr>
            <w:tcW w:w="1200" w:type="dxa"/>
            <w:tcBorders>
              <w:top w:val="nil"/>
              <w:left w:val="nil"/>
              <w:bottom w:val="nil"/>
              <w:right w:val="nil"/>
            </w:tcBorders>
            <w:shd w:val="clear" w:color="000000" w:fill="FFFFFF"/>
            <w:noWrap/>
            <w:vAlign w:val="center"/>
            <w:hideMark/>
          </w:tcPr>
          <w:p w14:paraId="25B0A8C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0.123***</w:t>
            </w:r>
          </w:p>
        </w:tc>
        <w:tc>
          <w:tcPr>
            <w:tcW w:w="1200" w:type="dxa"/>
            <w:tcBorders>
              <w:top w:val="nil"/>
              <w:left w:val="nil"/>
              <w:bottom w:val="nil"/>
              <w:right w:val="nil"/>
            </w:tcBorders>
            <w:shd w:val="clear" w:color="000000" w:fill="FFFFFF"/>
            <w:noWrap/>
            <w:vAlign w:val="center"/>
            <w:hideMark/>
          </w:tcPr>
          <w:p w14:paraId="0547A261"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0.007</w:t>
            </w:r>
          </w:p>
        </w:tc>
        <w:tc>
          <w:tcPr>
            <w:tcW w:w="1200" w:type="dxa"/>
            <w:tcBorders>
              <w:top w:val="nil"/>
              <w:left w:val="nil"/>
              <w:bottom w:val="nil"/>
              <w:right w:val="nil"/>
            </w:tcBorders>
            <w:shd w:val="clear" w:color="000000" w:fill="FFFFFF"/>
            <w:noWrap/>
            <w:vAlign w:val="center"/>
            <w:hideMark/>
          </w:tcPr>
          <w:p w14:paraId="282D0CA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2.283</w:t>
            </w:r>
          </w:p>
        </w:tc>
      </w:tr>
      <w:tr w:rsidR="00415057" w:rsidRPr="0009669D" w14:paraId="0A639571" w14:textId="77777777" w:rsidTr="00C200CC">
        <w:trPr>
          <w:trHeight w:val="300"/>
          <w:jc w:val="center"/>
        </w:trPr>
        <w:tc>
          <w:tcPr>
            <w:tcW w:w="1200" w:type="dxa"/>
            <w:tcBorders>
              <w:top w:val="nil"/>
              <w:left w:val="nil"/>
              <w:bottom w:val="nil"/>
              <w:right w:val="nil"/>
            </w:tcBorders>
            <w:shd w:val="clear" w:color="000000" w:fill="FFFFFF"/>
            <w:noWrap/>
            <w:vAlign w:val="center"/>
            <w:hideMark/>
          </w:tcPr>
          <w:p w14:paraId="77AE1035"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center"/>
            <w:hideMark/>
          </w:tcPr>
          <w:p w14:paraId="6BB0AA0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0.058</w:t>
            </w:r>
          </w:p>
        </w:tc>
        <w:tc>
          <w:tcPr>
            <w:tcW w:w="1200" w:type="dxa"/>
            <w:tcBorders>
              <w:top w:val="nil"/>
              <w:left w:val="nil"/>
              <w:bottom w:val="nil"/>
              <w:right w:val="nil"/>
            </w:tcBorders>
            <w:shd w:val="clear" w:color="000000" w:fill="FFFFFF"/>
            <w:noWrap/>
            <w:vAlign w:val="center"/>
            <w:hideMark/>
          </w:tcPr>
          <w:p w14:paraId="7376BFC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0.013</w:t>
            </w:r>
          </w:p>
        </w:tc>
        <w:tc>
          <w:tcPr>
            <w:tcW w:w="1200" w:type="dxa"/>
            <w:tcBorders>
              <w:top w:val="nil"/>
              <w:left w:val="nil"/>
              <w:bottom w:val="nil"/>
              <w:right w:val="nil"/>
            </w:tcBorders>
            <w:shd w:val="clear" w:color="000000" w:fill="FFFFFF"/>
            <w:noWrap/>
            <w:vAlign w:val="center"/>
            <w:hideMark/>
          </w:tcPr>
          <w:p w14:paraId="2DA91AC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0.008</w:t>
            </w:r>
          </w:p>
        </w:tc>
        <w:tc>
          <w:tcPr>
            <w:tcW w:w="1200" w:type="dxa"/>
            <w:tcBorders>
              <w:top w:val="nil"/>
              <w:left w:val="nil"/>
              <w:bottom w:val="nil"/>
              <w:right w:val="nil"/>
            </w:tcBorders>
            <w:shd w:val="clear" w:color="000000" w:fill="FFFFFF"/>
            <w:noWrap/>
            <w:vAlign w:val="center"/>
            <w:hideMark/>
          </w:tcPr>
          <w:p w14:paraId="4B750F25"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0.022</w:t>
            </w:r>
          </w:p>
        </w:tc>
        <w:tc>
          <w:tcPr>
            <w:tcW w:w="1200" w:type="dxa"/>
            <w:tcBorders>
              <w:top w:val="nil"/>
              <w:left w:val="nil"/>
              <w:bottom w:val="nil"/>
              <w:right w:val="nil"/>
            </w:tcBorders>
            <w:shd w:val="clear" w:color="000000" w:fill="FFFFFF"/>
            <w:noWrap/>
            <w:vAlign w:val="center"/>
            <w:hideMark/>
          </w:tcPr>
          <w:p w14:paraId="64D2E9E3"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3.265</w:t>
            </w:r>
          </w:p>
        </w:tc>
      </w:tr>
      <w:tr w:rsidR="00415057" w:rsidRPr="0009669D" w14:paraId="03707C33" w14:textId="77777777" w:rsidTr="00C200CC">
        <w:trPr>
          <w:trHeight w:val="315"/>
          <w:jc w:val="center"/>
        </w:trPr>
        <w:tc>
          <w:tcPr>
            <w:tcW w:w="1200" w:type="dxa"/>
            <w:tcBorders>
              <w:top w:val="nil"/>
              <w:left w:val="nil"/>
              <w:bottom w:val="nil"/>
              <w:right w:val="nil"/>
            </w:tcBorders>
            <w:shd w:val="clear" w:color="000000" w:fill="FFFFFF"/>
            <w:noWrap/>
            <w:vAlign w:val="center"/>
            <w:hideMark/>
          </w:tcPr>
          <w:p w14:paraId="2968B9B6"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center"/>
            <w:hideMark/>
          </w:tcPr>
          <w:p w14:paraId="31A954A8"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(0.622)</w:t>
            </w:r>
          </w:p>
        </w:tc>
        <w:tc>
          <w:tcPr>
            <w:tcW w:w="1200" w:type="dxa"/>
            <w:tcBorders>
              <w:top w:val="nil"/>
              <w:left w:val="nil"/>
              <w:bottom w:val="nil"/>
              <w:right w:val="nil"/>
            </w:tcBorders>
            <w:shd w:val="clear" w:color="000000" w:fill="FFFFFF"/>
            <w:noWrap/>
            <w:vAlign w:val="center"/>
            <w:hideMark/>
          </w:tcPr>
          <w:p w14:paraId="48218D31"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(0.007)</w:t>
            </w:r>
          </w:p>
        </w:tc>
        <w:tc>
          <w:tcPr>
            <w:tcW w:w="1200" w:type="dxa"/>
            <w:tcBorders>
              <w:top w:val="nil"/>
              <w:left w:val="nil"/>
              <w:bottom w:val="nil"/>
              <w:right w:val="nil"/>
            </w:tcBorders>
            <w:shd w:val="clear" w:color="000000" w:fill="FFFFFF"/>
            <w:noWrap/>
            <w:vAlign w:val="center"/>
            <w:hideMark/>
          </w:tcPr>
          <w:p w14:paraId="4A327AA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center"/>
            <w:hideMark/>
          </w:tcPr>
          <w:p w14:paraId="0D990B94"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(0.764)</w:t>
            </w:r>
          </w:p>
        </w:tc>
        <w:tc>
          <w:tcPr>
            <w:tcW w:w="1200" w:type="dxa"/>
            <w:tcBorders>
              <w:top w:val="nil"/>
              <w:left w:val="nil"/>
              <w:bottom w:val="nil"/>
              <w:right w:val="nil"/>
            </w:tcBorders>
            <w:shd w:val="clear" w:color="000000" w:fill="FFFFFF"/>
            <w:noWrap/>
            <w:vAlign w:val="center"/>
            <w:hideMark/>
          </w:tcPr>
          <w:p w14:paraId="435DE03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(0.484)</w:t>
            </w:r>
          </w:p>
        </w:tc>
      </w:tr>
      <w:tr w:rsidR="00415057" w:rsidRPr="0009669D" w14:paraId="78D71B6A" w14:textId="77777777" w:rsidTr="00C200CC">
        <w:trPr>
          <w:trHeight w:val="315"/>
          <w:jc w:val="center"/>
        </w:trPr>
        <w:tc>
          <w:tcPr>
            <w:tcW w:w="1200" w:type="dxa"/>
            <w:tcBorders>
              <w:top w:val="single" w:sz="8" w:space="0" w:color="auto"/>
              <w:left w:val="nil"/>
              <w:bottom w:val="single" w:sz="8" w:space="0" w:color="auto"/>
              <w:right w:val="nil"/>
            </w:tcBorders>
            <w:shd w:val="clear" w:color="000000" w:fill="FFFFFF"/>
            <w:noWrap/>
            <w:vAlign w:val="center"/>
            <w:hideMark/>
          </w:tcPr>
          <w:p w14:paraId="0D59638F"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roofErr w:type="spellStart"/>
            <w:r w:rsidRPr="0009669D">
              <w:rPr>
                <w:rFonts w:eastAsia="Times New Roman" w:cs="Times New Roman"/>
                <w:b/>
                <w:bCs/>
                <w:color w:val="000000"/>
                <w:sz w:val="20"/>
                <w:szCs w:val="20"/>
                <w:lang w:val="en-GB" w:eastAsia="es-ES"/>
              </w:rPr>
              <w:t>Obs</w:t>
            </w:r>
            <w:proofErr w:type="spellEnd"/>
          </w:p>
        </w:tc>
        <w:tc>
          <w:tcPr>
            <w:tcW w:w="1200" w:type="dxa"/>
            <w:tcBorders>
              <w:top w:val="single" w:sz="8" w:space="0" w:color="auto"/>
              <w:left w:val="nil"/>
              <w:bottom w:val="single" w:sz="8" w:space="0" w:color="auto"/>
              <w:right w:val="nil"/>
            </w:tcBorders>
            <w:shd w:val="clear" w:color="000000" w:fill="FFFFFF"/>
            <w:noWrap/>
            <w:vAlign w:val="center"/>
            <w:hideMark/>
          </w:tcPr>
          <w:p w14:paraId="394D0CD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1200" w:type="dxa"/>
            <w:tcBorders>
              <w:top w:val="single" w:sz="8" w:space="0" w:color="auto"/>
              <w:left w:val="nil"/>
              <w:bottom w:val="single" w:sz="8" w:space="0" w:color="auto"/>
              <w:right w:val="nil"/>
            </w:tcBorders>
            <w:shd w:val="clear" w:color="000000" w:fill="FFFFFF"/>
            <w:noWrap/>
            <w:vAlign w:val="center"/>
            <w:hideMark/>
          </w:tcPr>
          <w:p w14:paraId="5BF1535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1200" w:type="dxa"/>
            <w:tcBorders>
              <w:top w:val="single" w:sz="8" w:space="0" w:color="auto"/>
              <w:left w:val="nil"/>
              <w:bottom w:val="single" w:sz="8" w:space="0" w:color="auto"/>
              <w:right w:val="nil"/>
            </w:tcBorders>
            <w:shd w:val="clear" w:color="000000" w:fill="FFFFFF"/>
            <w:noWrap/>
            <w:vAlign w:val="center"/>
            <w:hideMark/>
          </w:tcPr>
          <w:p w14:paraId="5416166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1200" w:type="dxa"/>
            <w:tcBorders>
              <w:top w:val="single" w:sz="8" w:space="0" w:color="auto"/>
              <w:left w:val="nil"/>
              <w:bottom w:val="single" w:sz="8" w:space="0" w:color="auto"/>
              <w:right w:val="nil"/>
            </w:tcBorders>
            <w:shd w:val="clear" w:color="000000" w:fill="FFFFFF"/>
            <w:noWrap/>
            <w:vAlign w:val="center"/>
            <w:hideMark/>
          </w:tcPr>
          <w:p w14:paraId="6E664E4C"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1200" w:type="dxa"/>
            <w:tcBorders>
              <w:top w:val="single" w:sz="8" w:space="0" w:color="auto"/>
              <w:left w:val="nil"/>
              <w:bottom w:val="single" w:sz="8" w:space="0" w:color="auto"/>
              <w:right w:val="nil"/>
            </w:tcBorders>
            <w:shd w:val="clear" w:color="000000" w:fill="FFFFFF"/>
            <w:noWrap/>
            <w:vAlign w:val="center"/>
            <w:hideMark/>
          </w:tcPr>
          <w:p w14:paraId="65D6B47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r>
    </w:tbl>
    <w:p w14:paraId="54B3AB77" w14:textId="77777777" w:rsidR="001F0647" w:rsidRPr="0009669D" w:rsidRDefault="001F0647" w:rsidP="0070319D">
      <w:pPr>
        <w:pStyle w:val="Ttulotablasygrficos"/>
        <w:ind w:firstLine="0"/>
        <w:rPr>
          <w:b w:val="0"/>
          <w:lang w:val="en-GB"/>
        </w:rPr>
      </w:pPr>
      <w:r w:rsidRPr="0009669D">
        <w:rPr>
          <w:b w:val="0"/>
          <w:lang w:val="en-GB"/>
        </w:rPr>
        <w:t>Source: own elaboration</w:t>
      </w:r>
    </w:p>
    <w:p w14:paraId="6F43A2F2" w14:textId="77777777" w:rsidR="00415057" w:rsidRPr="0009669D" w:rsidRDefault="00415057" w:rsidP="0070319D">
      <w:pPr>
        <w:spacing w:after="0"/>
        <w:ind w:firstLine="0"/>
        <w:jc w:val="center"/>
        <w:rPr>
          <w:sz w:val="20"/>
          <w:szCs w:val="20"/>
          <w:lang w:val="en-GB"/>
        </w:rPr>
      </w:pPr>
      <w:r w:rsidRPr="0009669D">
        <w:rPr>
          <w:sz w:val="20"/>
          <w:szCs w:val="20"/>
          <w:lang w:val="en-GB"/>
        </w:rPr>
        <w:t xml:space="preserve">Note: All regressions include a full set of year dummies. Robust standard errors are presented in parenthesis. *, ** </w:t>
      </w:r>
      <w:proofErr w:type="gramStart"/>
      <w:r w:rsidRPr="0009669D">
        <w:rPr>
          <w:sz w:val="20"/>
          <w:szCs w:val="20"/>
          <w:lang w:val="en-GB"/>
        </w:rPr>
        <w:t>and</w:t>
      </w:r>
      <w:proofErr w:type="gramEnd"/>
      <w:r w:rsidRPr="0009669D">
        <w:rPr>
          <w:sz w:val="20"/>
          <w:szCs w:val="20"/>
          <w:lang w:val="en-GB"/>
        </w:rPr>
        <w:t xml:space="preserve"> *** indicate significance at 0,1%, 1% and 5% level, respectively.</w:t>
      </w:r>
    </w:p>
    <w:p w14:paraId="10CF1E6B" w14:textId="77777777" w:rsidR="00415057" w:rsidRPr="0009669D" w:rsidRDefault="00415057" w:rsidP="00415057">
      <w:pPr>
        <w:spacing w:after="0" w:line="276" w:lineRule="auto"/>
        <w:ind w:firstLine="0"/>
        <w:jc w:val="left"/>
        <w:rPr>
          <w:sz w:val="20"/>
          <w:szCs w:val="20"/>
          <w:lang w:val="en-GB"/>
        </w:rPr>
      </w:pPr>
    </w:p>
    <w:p w14:paraId="74CEB620" w14:textId="77777777" w:rsidR="00415057" w:rsidRPr="0009669D" w:rsidRDefault="00415057" w:rsidP="00415057">
      <w:pPr>
        <w:pStyle w:val="Ttulotablasygrficos"/>
        <w:keepNext/>
        <w:spacing w:line="276" w:lineRule="auto"/>
        <w:ind w:firstLine="0"/>
        <w:rPr>
          <w:lang w:val="en-GB"/>
        </w:rPr>
      </w:pPr>
      <w:bookmarkStart w:id="6" w:name="_Ref508116040"/>
      <w:r w:rsidRPr="0009669D">
        <w:rPr>
          <w:lang w:val="en-GB"/>
        </w:rPr>
        <w:t xml:space="preserve">Table </w:t>
      </w:r>
      <w:r w:rsidRPr="0009669D">
        <w:rPr>
          <w:noProof/>
          <w:lang w:val="en-GB"/>
        </w:rPr>
        <w:t>7</w:t>
      </w:r>
      <w:bookmarkEnd w:id="6"/>
      <w:r w:rsidRPr="0009669D">
        <w:rPr>
          <w:lang w:val="en-GB"/>
        </w:rPr>
        <w:t>. Fixed effects estimates on employees growth</w:t>
      </w: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415057" w:rsidRPr="0009669D" w14:paraId="07BA391D" w14:textId="77777777" w:rsidTr="00C200CC">
        <w:trPr>
          <w:trHeight w:val="255"/>
          <w:jc w:val="center"/>
        </w:trPr>
        <w:tc>
          <w:tcPr>
            <w:tcW w:w="1200" w:type="dxa"/>
            <w:tcBorders>
              <w:top w:val="single" w:sz="4" w:space="0" w:color="auto"/>
              <w:left w:val="nil"/>
              <w:bottom w:val="single" w:sz="4" w:space="0" w:color="auto"/>
              <w:right w:val="nil"/>
            </w:tcBorders>
            <w:shd w:val="clear" w:color="000000" w:fill="FFFFFF"/>
            <w:noWrap/>
            <w:vAlign w:val="bottom"/>
            <w:hideMark/>
          </w:tcPr>
          <w:p w14:paraId="392DDFD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Variable</w:t>
            </w:r>
          </w:p>
        </w:tc>
        <w:tc>
          <w:tcPr>
            <w:tcW w:w="1200" w:type="dxa"/>
            <w:tcBorders>
              <w:top w:val="single" w:sz="4" w:space="0" w:color="auto"/>
              <w:left w:val="nil"/>
              <w:bottom w:val="single" w:sz="4" w:space="0" w:color="auto"/>
              <w:right w:val="nil"/>
            </w:tcBorders>
            <w:shd w:val="clear" w:color="000000" w:fill="FFFFFF"/>
            <w:noWrap/>
            <w:vAlign w:val="bottom"/>
            <w:hideMark/>
          </w:tcPr>
          <w:p w14:paraId="2FF1ED0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QR_10</w:t>
            </w:r>
          </w:p>
        </w:tc>
        <w:tc>
          <w:tcPr>
            <w:tcW w:w="1200" w:type="dxa"/>
            <w:tcBorders>
              <w:top w:val="single" w:sz="4" w:space="0" w:color="auto"/>
              <w:left w:val="nil"/>
              <w:bottom w:val="single" w:sz="4" w:space="0" w:color="auto"/>
              <w:right w:val="nil"/>
            </w:tcBorders>
            <w:shd w:val="clear" w:color="000000" w:fill="FFFFFF"/>
            <w:noWrap/>
            <w:vAlign w:val="bottom"/>
            <w:hideMark/>
          </w:tcPr>
          <w:p w14:paraId="6F1F649C"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QR_25</w:t>
            </w:r>
          </w:p>
        </w:tc>
        <w:tc>
          <w:tcPr>
            <w:tcW w:w="1200" w:type="dxa"/>
            <w:tcBorders>
              <w:top w:val="single" w:sz="4" w:space="0" w:color="auto"/>
              <w:left w:val="nil"/>
              <w:bottom w:val="single" w:sz="4" w:space="0" w:color="auto"/>
              <w:right w:val="nil"/>
            </w:tcBorders>
            <w:shd w:val="clear" w:color="000000" w:fill="FFFFFF"/>
            <w:noWrap/>
            <w:vAlign w:val="bottom"/>
            <w:hideMark/>
          </w:tcPr>
          <w:p w14:paraId="2263958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QR_50</w:t>
            </w:r>
          </w:p>
        </w:tc>
        <w:tc>
          <w:tcPr>
            <w:tcW w:w="1200" w:type="dxa"/>
            <w:tcBorders>
              <w:top w:val="single" w:sz="4" w:space="0" w:color="auto"/>
              <w:left w:val="nil"/>
              <w:bottom w:val="single" w:sz="4" w:space="0" w:color="auto"/>
              <w:right w:val="nil"/>
            </w:tcBorders>
            <w:shd w:val="clear" w:color="000000" w:fill="FFFFFF"/>
            <w:noWrap/>
            <w:vAlign w:val="bottom"/>
            <w:hideMark/>
          </w:tcPr>
          <w:p w14:paraId="616D3D2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QR_75</w:t>
            </w:r>
          </w:p>
        </w:tc>
        <w:tc>
          <w:tcPr>
            <w:tcW w:w="1200" w:type="dxa"/>
            <w:tcBorders>
              <w:top w:val="single" w:sz="4" w:space="0" w:color="auto"/>
              <w:left w:val="nil"/>
              <w:bottom w:val="single" w:sz="4" w:space="0" w:color="auto"/>
              <w:right w:val="nil"/>
            </w:tcBorders>
            <w:shd w:val="clear" w:color="000000" w:fill="FFFFFF"/>
            <w:noWrap/>
            <w:vAlign w:val="bottom"/>
            <w:hideMark/>
          </w:tcPr>
          <w:p w14:paraId="36D0EA53"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QR_90</w:t>
            </w:r>
          </w:p>
        </w:tc>
      </w:tr>
      <w:tr w:rsidR="00415057" w:rsidRPr="0009669D" w14:paraId="433D929F" w14:textId="77777777" w:rsidTr="00C200CC">
        <w:trPr>
          <w:trHeight w:val="255"/>
          <w:jc w:val="center"/>
        </w:trPr>
        <w:tc>
          <w:tcPr>
            <w:tcW w:w="1200" w:type="dxa"/>
            <w:tcBorders>
              <w:top w:val="nil"/>
              <w:left w:val="nil"/>
              <w:bottom w:val="nil"/>
              <w:right w:val="nil"/>
            </w:tcBorders>
            <w:shd w:val="clear" w:color="000000" w:fill="FFFFFF"/>
            <w:noWrap/>
            <w:vAlign w:val="bottom"/>
            <w:hideMark/>
          </w:tcPr>
          <w:p w14:paraId="0E2DC18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roofErr w:type="spellStart"/>
            <w:r w:rsidRPr="0009669D">
              <w:rPr>
                <w:rFonts w:eastAsia="Times New Roman" w:cs="Times New Roman"/>
                <w:b/>
                <w:bCs/>
                <w:color w:val="000000"/>
                <w:sz w:val="20"/>
                <w:szCs w:val="20"/>
                <w:lang w:val="en-GB" w:eastAsia="es-ES"/>
              </w:rPr>
              <w:t>llnemp</w:t>
            </w:r>
            <w:proofErr w:type="spellEnd"/>
          </w:p>
        </w:tc>
        <w:tc>
          <w:tcPr>
            <w:tcW w:w="1200" w:type="dxa"/>
            <w:tcBorders>
              <w:top w:val="nil"/>
              <w:left w:val="nil"/>
              <w:bottom w:val="nil"/>
              <w:right w:val="nil"/>
            </w:tcBorders>
            <w:shd w:val="clear" w:color="000000" w:fill="FFFFFF"/>
            <w:noWrap/>
            <w:vAlign w:val="bottom"/>
            <w:hideMark/>
          </w:tcPr>
          <w:p w14:paraId="0C6680DC"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-1.018***</w:t>
            </w:r>
          </w:p>
        </w:tc>
        <w:tc>
          <w:tcPr>
            <w:tcW w:w="1200" w:type="dxa"/>
            <w:tcBorders>
              <w:top w:val="nil"/>
              <w:left w:val="nil"/>
              <w:bottom w:val="nil"/>
              <w:right w:val="nil"/>
            </w:tcBorders>
            <w:shd w:val="clear" w:color="000000" w:fill="FFFFFF"/>
            <w:noWrap/>
            <w:vAlign w:val="bottom"/>
            <w:hideMark/>
          </w:tcPr>
          <w:p w14:paraId="536A347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-1.037***</w:t>
            </w:r>
          </w:p>
        </w:tc>
        <w:tc>
          <w:tcPr>
            <w:tcW w:w="1200" w:type="dxa"/>
            <w:tcBorders>
              <w:top w:val="nil"/>
              <w:left w:val="nil"/>
              <w:bottom w:val="nil"/>
              <w:right w:val="nil"/>
            </w:tcBorders>
            <w:shd w:val="clear" w:color="000000" w:fill="FFFFFF"/>
            <w:noWrap/>
            <w:vAlign w:val="bottom"/>
            <w:hideMark/>
          </w:tcPr>
          <w:p w14:paraId="2C6B8A14"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-0.022***</w:t>
            </w:r>
          </w:p>
        </w:tc>
        <w:tc>
          <w:tcPr>
            <w:tcW w:w="1200" w:type="dxa"/>
            <w:tcBorders>
              <w:top w:val="nil"/>
              <w:left w:val="nil"/>
              <w:bottom w:val="nil"/>
              <w:right w:val="nil"/>
            </w:tcBorders>
            <w:shd w:val="clear" w:color="000000" w:fill="FFFFFF"/>
            <w:noWrap/>
            <w:vAlign w:val="bottom"/>
            <w:hideMark/>
          </w:tcPr>
          <w:p w14:paraId="349CFABB"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-1.080***</w:t>
            </w:r>
          </w:p>
        </w:tc>
        <w:tc>
          <w:tcPr>
            <w:tcW w:w="1200" w:type="dxa"/>
            <w:tcBorders>
              <w:top w:val="nil"/>
              <w:left w:val="nil"/>
              <w:bottom w:val="nil"/>
              <w:right w:val="nil"/>
            </w:tcBorders>
            <w:shd w:val="clear" w:color="000000" w:fill="FFFFFF"/>
            <w:noWrap/>
            <w:vAlign w:val="bottom"/>
            <w:hideMark/>
          </w:tcPr>
          <w:p w14:paraId="054BAD22"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-1.000***</w:t>
            </w:r>
          </w:p>
        </w:tc>
      </w:tr>
      <w:tr w:rsidR="00415057" w:rsidRPr="0009669D" w14:paraId="01FDDA5B" w14:textId="77777777" w:rsidTr="00C200CC">
        <w:trPr>
          <w:trHeight w:val="255"/>
          <w:jc w:val="center"/>
        </w:trPr>
        <w:tc>
          <w:tcPr>
            <w:tcW w:w="1200" w:type="dxa"/>
            <w:tcBorders>
              <w:top w:val="nil"/>
              <w:left w:val="nil"/>
              <w:bottom w:val="nil"/>
              <w:right w:val="nil"/>
            </w:tcBorders>
            <w:shd w:val="clear" w:color="000000" w:fill="FFFFFF"/>
            <w:noWrap/>
            <w:vAlign w:val="bottom"/>
            <w:hideMark/>
          </w:tcPr>
          <w:p w14:paraId="2C2EAA1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bottom"/>
            <w:hideMark/>
          </w:tcPr>
          <w:p w14:paraId="1540F7E6"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0.013</w:t>
            </w:r>
          </w:p>
        </w:tc>
        <w:tc>
          <w:tcPr>
            <w:tcW w:w="1200" w:type="dxa"/>
            <w:tcBorders>
              <w:top w:val="nil"/>
              <w:left w:val="nil"/>
              <w:bottom w:val="nil"/>
              <w:right w:val="nil"/>
            </w:tcBorders>
            <w:shd w:val="clear" w:color="000000" w:fill="FFFFFF"/>
            <w:noWrap/>
            <w:vAlign w:val="bottom"/>
            <w:hideMark/>
          </w:tcPr>
          <w:p w14:paraId="7872F27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0.032</w:t>
            </w:r>
          </w:p>
        </w:tc>
        <w:tc>
          <w:tcPr>
            <w:tcW w:w="1200" w:type="dxa"/>
            <w:tcBorders>
              <w:top w:val="nil"/>
              <w:left w:val="nil"/>
              <w:bottom w:val="nil"/>
              <w:right w:val="nil"/>
            </w:tcBorders>
            <w:shd w:val="clear" w:color="000000" w:fill="FFFFFF"/>
            <w:noWrap/>
            <w:vAlign w:val="bottom"/>
            <w:hideMark/>
          </w:tcPr>
          <w:p w14:paraId="6CCCBD1C"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0.002</w:t>
            </w:r>
          </w:p>
        </w:tc>
        <w:tc>
          <w:tcPr>
            <w:tcW w:w="1200" w:type="dxa"/>
            <w:tcBorders>
              <w:top w:val="nil"/>
              <w:left w:val="nil"/>
              <w:bottom w:val="nil"/>
              <w:right w:val="nil"/>
            </w:tcBorders>
            <w:shd w:val="clear" w:color="000000" w:fill="FFFFFF"/>
            <w:noWrap/>
            <w:vAlign w:val="bottom"/>
            <w:hideMark/>
          </w:tcPr>
          <w:p w14:paraId="057FBB02"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0.047</w:t>
            </w:r>
          </w:p>
        </w:tc>
        <w:tc>
          <w:tcPr>
            <w:tcW w:w="1200" w:type="dxa"/>
            <w:tcBorders>
              <w:top w:val="nil"/>
              <w:left w:val="nil"/>
              <w:bottom w:val="nil"/>
              <w:right w:val="nil"/>
            </w:tcBorders>
            <w:shd w:val="clear" w:color="000000" w:fill="FFFFFF"/>
            <w:noWrap/>
            <w:vAlign w:val="bottom"/>
            <w:hideMark/>
          </w:tcPr>
          <w:p w14:paraId="1035FB7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0.062</w:t>
            </w:r>
          </w:p>
        </w:tc>
      </w:tr>
      <w:tr w:rsidR="00415057" w:rsidRPr="0009669D" w14:paraId="42D3D529" w14:textId="77777777" w:rsidTr="00C200CC">
        <w:trPr>
          <w:trHeight w:val="255"/>
          <w:jc w:val="center"/>
        </w:trPr>
        <w:tc>
          <w:tcPr>
            <w:tcW w:w="1200" w:type="dxa"/>
            <w:tcBorders>
              <w:top w:val="nil"/>
              <w:left w:val="nil"/>
              <w:bottom w:val="nil"/>
              <w:right w:val="nil"/>
            </w:tcBorders>
            <w:shd w:val="clear" w:color="000000" w:fill="FFFFFF"/>
            <w:noWrap/>
            <w:vAlign w:val="bottom"/>
            <w:hideMark/>
          </w:tcPr>
          <w:p w14:paraId="02AE96C6"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bottom"/>
            <w:hideMark/>
          </w:tcPr>
          <w:p w14:paraId="7EDAE8D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2F2493A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2941BF3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5A52893C"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2B67A93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r>
      <w:tr w:rsidR="00415057" w:rsidRPr="0009669D" w14:paraId="54FFAB5B" w14:textId="77777777" w:rsidTr="00C200CC">
        <w:trPr>
          <w:trHeight w:val="255"/>
          <w:jc w:val="center"/>
        </w:trPr>
        <w:tc>
          <w:tcPr>
            <w:tcW w:w="1200" w:type="dxa"/>
            <w:tcBorders>
              <w:top w:val="nil"/>
              <w:left w:val="nil"/>
              <w:bottom w:val="nil"/>
              <w:right w:val="nil"/>
            </w:tcBorders>
            <w:shd w:val="clear" w:color="000000" w:fill="FFFFFF"/>
            <w:noWrap/>
            <w:vAlign w:val="bottom"/>
            <w:hideMark/>
          </w:tcPr>
          <w:p w14:paraId="53A55D7C"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age</w:t>
            </w:r>
          </w:p>
        </w:tc>
        <w:tc>
          <w:tcPr>
            <w:tcW w:w="1200" w:type="dxa"/>
            <w:tcBorders>
              <w:top w:val="nil"/>
              <w:left w:val="nil"/>
              <w:bottom w:val="nil"/>
              <w:right w:val="nil"/>
            </w:tcBorders>
            <w:shd w:val="clear" w:color="000000" w:fill="FFFFFF"/>
            <w:noWrap/>
            <w:vAlign w:val="bottom"/>
            <w:hideMark/>
          </w:tcPr>
          <w:p w14:paraId="0A0044D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0.018***</w:t>
            </w:r>
          </w:p>
        </w:tc>
        <w:tc>
          <w:tcPr>
            <w:tcW w:w="1200" w:type="dxa"/>
            <w:tcBorders>
              <w:top w:val="nil"/>
              <w:left w:val="nil"/>
              <w:bottom w:val="nil"/>
              <w:right w:val="nil"/>
            </w:tcBorders>
            <w:shd w:val="clear" w:color="000000" w:fill="FFFFFF"/>
            <w:noWrap/>
            <w:vAlign w:val="bottom"/>
            <w:hideMark/>
          </w:tcPr>
          <w:p w14:paraId="475E1AC3"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-0.012***</w:t>
            </w:r>
          </w:p>
        </w:tc>
        <w:tc>
          <w:tcPr>
            <w:tcW w:w="1200" w:type="dxa"/>
            <w:tcBorders>
              <w:top w:val="nil"/>
              <w:left w:val="nil"/>
              <w:bottom w:val="nil"/>
              <w:right w:val="nil"/>
            </w:tcBorders>
            <w:shd w:val="clear" w:color="000000" w:fill="FFFFFF"/>
            <w:noWrap/>
            <w:vAlign w:val="bottom"/>
            <w:hideMark/>
          </w:tcPr>
          <w:p w14:paraId="00359431"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0.001***</w:t>
            </w:r>
          </w:p>
        </w:tc>
        <w:tc>
          <w:tcPr>
            <w:tcW w:w="1200" w:type="dxa"/>
            <w:tcBorders>
              <w:top w:val="nil"/>
              <w:left w:val="nil"/>
              <w:bottom w:val="nil"/>
              <w:right w:val="nil"/>
            </w:tcBorders>
            <w:shd w:val="clear" w:color="000000" w:fill="FFFFFF"/>
            <w:noWrap/>
            <w:vAlign w:val="bottom"/>
            <w:hideMark/>
          </w:tcPr>
          <w:p w14:paraId="2282DE1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0.042***</w:t>
            </w:r>
          </w:p>
        </w:tc>
        <w:tc>
          <w:tcPr>
            <w:tcW w:w="1200" w:type="dxa"/>
            <w:tcBorders>
              <w:top w:val="nil"/>
              <w:left w:val="nil"/>
              <w:bottom w:val="nil"/>
              <w:right w:val="nil"/>
            </w:tcBorders>
            <w:shd w:val="clear" w:color="000000" w:fill="FFFFFF"/>
            <w:noWrap/>
            <w:vAlign w:val="bottom"/>
            <w:hideMark/>
          </w:tcPr>
          <w:p w14:paraId="118FCED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0.007</w:t>
            </w:r>
          </w:p>
        </w:tc>
      </w:tr>
      <w:tr w:rsidR="00415057" w:rsidRPr="0009669D" w14:paraId="710BB148" w14:textId="77777777" w:rsidTr="00C200CC">
        <w:trPr>
          <w:trHeight w:val="255"/>
          <w:jc w:val="center"/>
        </w:trPr>
        <w:tc>
          <w:tcPr>
            <w:tcW w:w="1200" w:type="dxa"/>
            <w:tcBorders>
              <w:top w:val="nil"/>
              <w:left w:val="nil"/>
              <w:bottom w:val="nil"/>
              <w:right w:val="nil"/>
            </w:tcBorders>
            <w:shd w:val="clear" w:color="000000" w:fill="FFFFFF"/>
            <w:noWrap/>
            <w:vAlign w:val="bottom"/>
            <w:hideMark/>
          </w:tcPr>
          <w:p w14:paraId="6F5DAF4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bottom"/>
            <w:hideMark/>
          </w:tcPr>
          <w:p w14:paraId="781B16B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4243E437"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0.002</w:t>
            </w:r>
          </w:p>
        </w:tc>
        <w:tc>
          <w:tcPr>
            <w:tcW w:w="1200" w:type="dxa"/>
            <w:tcBorders>
              <w:top w:val="nil"/>
              <w:left w:val="nil"/>
              <w:bottom w:val="nil"/>
              <w:right w:val="nil"/>
            </w:tcBorders>
            <w:shd w:val="clear" w:color="000000" w:fill="FFFFFF"/>
            <w:noWrap/>
            <w:vAlign w:val="bottom"/>
            <w:hideMark/>
          </w:tcPr>
          <w:p w14:paraId="4196FB8E"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583D4DC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0.005</w:t>
            </w:r>
          </w:p>
        </w:tc>
        <w:tc>
          <w:tcPr>
            <w:tcW w:w="1200" w:type="dxa"/>
            <w:tcBorders>
              <w:top w:val="nil"/>
              <w:left w:val="nil"/>
              <w:bottom w:val="nil"/>
              <w:right w:val="nil"/>
            </w:tcBorders>
            <w:shd w:val="clear" w:color="000000" w:fill="FFFFFF"/>
            <w:noWrap/>
            <w:vAlign w:val="bottom"/>
            <w:hideMark/>
          </w:tcPr>
          <w:p w14:paraId="42DE9BCC"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0.008</w:t>
            </w:r>
          </w:p>
        </w:tc>
      </w:tr>
      <w:tr w:rsidR="00415057" w:rsidRPr="0009669D" w14:paraId="1897A03E" w14:textId="77777777" w:rsidTr="00C200CC">
        <w:trPr>
          <w:trHeight w:val="255"/>
          <w:jc w:val="center"/>
        </w:trPr>
        <w:tc>
          <w:tcPr>
            <w:tcW w:w="1200" w:type="dxa"/>
            <w:tcBorders>
              <w:top w:val="nil"/>
              <w:left w:val="nil"/>
              <w:bottom w:val="nil"/>
              <w:right w:val="nil"/>
            </w:tcBorders>
            <w:shd w:val="clear" w:color="000000" w:fill="FFFFFF"/>
            <w:noWrap/>
            <w:vAlign w:val="bottom"/>
            <w:hideMark/>
          </w:tcPr>
          <w:p w14:paraId="689CFEA1"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bottom"/>
            <w:hideMark/>
          </w:tcPr>
          <w:p w14:paraId="69E160D8"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064D301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5A39976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6E71153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0348BD6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(0.357)</w:t>
            </w:r>
          </w:p>
        </w:tc>
      </w:tr>
      <w:tr w:rsidR="00415057" w:rsidRPr="0009669D" w14:paraId="4CE51E8B" w14:textId="77777777" w:rsidTr="00C200CC">
        <w:trPr>
          <w:trHeight w:val="255"/>
          <w:jc w:val="center"/>
        </w:trPr>
        <w:tc>
          <w:tcPr>
            <w:tcW w:w="1200" w:type="dxa"/>
            <w:tcBorders>
              <w:top w:val="nil"/>
              <w:left w:val="nil"/>
              <w:bottom w:val="nil"/>
              <w:right w:val="nil"/>
            </w:tcBorders>
            <w:shd w:val="clear" w:color="000000" w:fill="FFFFFF"/>
            <w:noWrap/>
            <w:vAlign w:val="bottom"/>
            <w:hideMark/>
          </w:tcPr>
          <w:p w14:paraId="0BEB335C"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roofErr w:type="spellStart"/>
            <w:r w:rsidRPr="0009669D">
              <w:rPr>
                <w:rFonts w:eastAsia="Times New Roman" w:cs="Times New Roman"/>
                <w:b/>
                <w:bCs/>
                <w:color w:val="000000"/>
                <w:sz w:val="20"/>
                <w:szCs w:val="20"/>
                <w:lang w:val="en-GB" w:eastAsia="es-ES"/>
              </w:rPr>
              <w:t>gk</w:t>
            </w:r>
            <w:proofErr w:type="spellEnd"/>
          </w:p>
        </w:tc>
        <w:tc>
          <w:tcPr>
            <w:tcW w:w="1200" w:type="dxa"/>
            <w:tcBorders>
              <w:top w:val="nil"/>
              <w:left w:val="nil"/>
              <w:bottom w:val="nil"/>
              <w:right w:val="nil"/>
            </w:tcBorders>
            <w:shd w:val="clear" w:color="000000" w:fill="FFFFFF"/>
            <w:noWrap/>
            <w:vAlign w:val="bottom"/>
            <w:hideMark/>
          </w:tcPr>
          <w:p w14:paraId="591E09D1"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0.621***</w:t>
            </w:r>
          </w:p>
        </w:tc>
        <w:tc>
          <w:tcPr>
            <w:tcW w:w="1200" w:type="dxa"/>
            <w:tcBorders>
              <w:top w:val="nil"/>
              <w:left w:val="nil"/>
              <w:bottom w:val="nil"/>
              <w:right w:val="nil"/>
            </w:tcBorders>
            <w:shd w:val="clear" w:color="000000" w:fill="FFFFFF"/>
            <w:noWrap/>
            <w:vAlign w:val="bottom"/>
            <w:hideMark/>
          </w:tcPr>
          <w:p w14:paraId="706B7602"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-0.230**</w:t>
            </w:r>
          </w:p>
        </w:tc>
        <w:tc>
          <w:tcPr>
            <w:tcW w:w="1200" w:type="dxa"/>
            <w:tcBorders>
              <w:top w:val="nil"/>
              <w:left w:val="nil"/>
              <w:bottom w:val="nil"/>
              <w:right w:val="nil"/>
            </w:tcBorders>
            <w:shd w:val="clear" w:color="000000" w:fill="FFFFFF"/>
            <w:noWrap/>
            <w:vAlign w:val="bottom"/>
            <w:hideMark/>
          </w:tcPr>
          <w:p w14:paraId="659B17D2"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0.007*</w:t>
            </w:r>
          </w:p>
        </w:tc>
        <w:tc>
          <w:tcPr>
            <w:tcW w:w="1200" w:type="dxa"/>
            <w:tcBorders>
              <w:top w:val="nil"/>
              <w:left w:val="nil"/>
              <w:bottom w:val="nil"/>
              <w:right w:val="nil"/>
            </w:tcBorders>
            <w:shd w:val="clear" w:color="000000" w:fill="FFFFFF"/>
            <w:noWrap/>
            <w:vAlign w:val="bottom"/>
            <w:hideMark/>
          </w:tcPr>
          <w:p w14:paraId="09EDBF1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0.038</w:t>
            </w:r>
          </w:p>
        </w:tc>
        <w:tc>
          <w:tcPr>
            <w:tcW w:w="1200" w:type="dxa"/>
            <w:tcBorders>
              <w:top w:val="nil"/>
              <w:left w:val="nil"/>
              <w:bottom w:val="nil"/>
              <w:right w:val="nil"/>
            </w:tcBorders>
            <w:shd w:val="clear" w:color="000000" w:fill="FFFFFF"/>
            <w:noWrap/>
            <w:vAlign w:val="bottom"/>
            <w:hideMark/>
          </w:tcPr>
          <w:p w14:paraId="00C97DA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0.327</w:t>
            </w:r>
          </w:p>
        </w:tc>
      </w:tr>
      <w:tr w:rsidR="00415057" w:rsidRPr="0009669D" w14:paraId="2B502493" w14:textId="77777777" w:rsidTr="00C200CC">
        <w:trPr>
          <w:trHeight w:val="255"/>
          <w:jc w:val="center"/>
        </w:trPr>
        <w:tc>
          <w:tcPr>
            <w:tcW w:w="1200" w:type="dxa"/>
            <w:tcBorders>
              <w:top w:val="nil"/>
              <w:left w:val="nil"/>
              <w:bottom w:val="nil"/>
              <w:right w:val="nil"/>
            </w:tcBorders>
            <w:shd w:val="clear" w:color="000000" w:fill="FFFFFF"/>
            <w:noWrap/>
            <w:vAlign w:val="bottom"/>
            <w:hideMark/>
          </w:tcPr>
          <w:p w14:paraId="0CD195E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bottom"/>
            <w:hideMark/>
          </w:tcPr>
          <w:p w14:paraId="5F70E1A9"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0.009</w:t>
            </w:r>
          </w:p>
        </w:tc>
        <w:tc>
          <w:tcPr>
            <w:tcW w:w="1200" w:type="dxa"/>
            <w:tcBorders>
              <w:top w:val="nil"/>
              <w:left w:val="nil"/>
              <w:bottom w:val="nil"/>
              <w:right w:val="nil"/>
            </w:tcBorders>
            <w:shd w:val="clear" w:color="000000" w:fill="FFFFFF"/>
            <w:noWrap/>
            <w:vAlign w:val="bottom"/>
            <w:hideMark/>
          </w:tcPr>
          <w:p w14:paraId="088DFE51"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0.078</w:t>
            </w:r>
          </w:p>
        </w:tc>
        <w:tc>
          <w:tcPr>
            <w:tcW w:w="1200" w:type="dxa"/>
            <w:tcBorders>
              <w:top w:val="nil"/>
              <w:left w:val="nil"/>
              <w:bottom w:val="nil"/>
              <w:right w:val="nil"/>
            </w:tcBorders>
            <w:shd w:val="clear" w:color="000000" w:fill="FFFFFF"/>
            <w:noWrap/>
            <w:vAlign w:val="bottom"/>
            <w:hideMark/>
          </w:tcPr>
          <w:p w14:paraId="4A622ECF"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0.003</w:t>
            </w:r>
          </w:p>
        </w:tc>
        <w:tc>
          <w:tcPr>
            <w:tcW w:w="1200" w:type="dxa"/>
            <w:tcBorders>
              <w:top w:val="nil"/>
              <w:left w:val="nil"/>
              <w:bottom w:val="nil"/>
              <w:right w:val="nil"/>
            </w:tcBorders>
            <w:shd w:val="clear" w:color="000000" w:fill="FFFFFF"/>
            <w:noWrap/>
            <w:vAlign w:val="bottom"/>
            <w:hideMark/>
          </w:tcPr>
          <w:p w14:paraId="33AA9CAF"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0.038</w:t>
            </w:r>
          </w:p>
        </w:tc>
        <w:tc>
          <w:tcPr>
            <w:tcW w:w="1200" w:type="dxa"/>
            <w:tcBorders>
              <w:top w:val="nil"/>
              <w:left w:val="nil"/>
              <w:bottom w:val="nil"/>
              <w:right w:val="nil"/>
            </w:tcBorders>
            <w:shd w:val="clear" w:color="000000" w:fill="FFFFFF"/>
            <w:noWrap/>
            <w:vAlign w:val="bottom"/>
            <w:hideMark/>
          </w:tcPr>
          <w:p w14:paraId="3349A51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0.296</w:t>
            </w:r>
          </w:p>
        </w:tc>
      </w:tr>
      <w:tr w:rsidR="00415057" w:rsidRPr="0009669D" w14:paraId="6368830C" w14:textId="77777777" w:rsidTr="00C200CC">
        <w:trPr>
          <w:trHeight w:val="255"/>
          <w:jc w:val="center"/>
        </w:trPr>
        <w:tc>
          <w:tcPr>
            <w:tcW w:w="1200" w:type="dxa"/>
            <w:tcBorders>
              <w:top w:val="nil"/>
              <w:left w:val="nil"/>
              <w:bottom w:val="nil"/>
              <w:right w:val="nil"/>
            </w:tcBorders>
            <w:shd w:val="clear" w:color="000000" w:fill="FFFFFF"/>
            <w:noWrap/>
            <w:vAlign w:val="bottom"/>
            <w:hideMark/>
          </w:tcPr>
          <w:p w14:paraId="3C97E97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p>
        </w:tc>
        <w:tc>
          <w:tcPr>
            <w:tcW w:w="1200" w:type="dxa"/>
            <w:tcBorders>
              <w:top w:val="nil"/>
              <w:left w:val="nil"/>
              <w:bottom w:val="nil"/>
              <w:right w:val="nil"/>
            </w:tcBorders>
            <w:shd w:val="clear" w:color="000000" w:fill="FFFFFF"/>
            <w:noWrap/>
            <w:vAlign w:val="bottom"/>
            <w:hideMark/>
          </w:tcPr>
          <w:p w14:paraId="2AE4D18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(0.000)</w:t>
            </w:r>
          </w:p>
        </w:tc>
        <w:tc>
          <w:tcPr>
            <w:tcW w:w="1200" w:type="dxa"/>
            <w:tcBorders>
              <w:top w:val="nil"/>
              <w:left w:val="nil"/>
              <w:bottom w:val="nil"/>
              <w:right w:val="nil"/>
            </w:tcBorders>
            <w:shd w:val="clear" w:color="000000" w:fill="FFFFFF"/>
            <w:noWrap/>
            <w:vAlign w:val="bottom"/>
            <w:hideMark/>
          </w:tcPr>
          <w:p w14:paraId="2745EFB9"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(0.003)</w:t>
            </w:r>
          </w:p>
        </w:tc>
        <w:tc>
          <w:tcPr>
            <w:tcW w:w="1200" w:type="dxa"/>
            <w:tcBorders>
              <w:top w:val="nil"/>
              <w:left w:val="nil"/>
              <w:bottom w:val="nil"/>
              <w:right w:val="nil"/>
            </w:tcBorders>
            <w:shd w:val="clear" w:color="000000" w:fill="FFFFFF"/>
            <w:noWrap/>
            <w:vAlign w:val="bottom"/>
            <w:hideMark/>
          </w:tcPr>
          <w:p w14:paraId="410A45FA"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(0.018)</w:t>
            </w:r>
          </w:p>
        </w:tc>
        <w:tc>
          <w:tcPr>
            <w:tcW w:w="1200" w:type="dxa"/>
            <w:tcBorders>
              <w:top w:val="nil"/>
              <w:left w:val="nil"/>
              <w:bottom w:val="nil"/>
              <w:right w:val="nil"/>
            </w:tcBorders>
            <w:shd w:val="clear" w:color="000000" w:fill="FFFFFF"/>
            <w:noWrap/>
            <w:vAlign w:val="bottom"/>
            <w:hideMark/>
          </w:tcPr>
          <w:p w14:paraId="422B6362"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(0.323)</w:t>
            </w:r>
          </w:p>
        </w:tc>
        <w:tc>
          <w:tcPr>
            <w:tcW w:w="1200" w:type="dxa"/>
            <w:tcBorders>
              <w:top w:val="nil"/>
              <w:left w:val="nil"/>
              <w:bottom w:val="nil"/>
              <w:right w:val="nil"/>
            </w:tcBorders>
            <w:shd w:val="clear" w:color="000000" w:fill="FFFFFF"/>
            <w:noWrap/>
            <w:vAlign w:val="bottom"/>
            <w:hideMark/>
          </w:tcPr>
          <w:p w14:paraId="15907F18"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(0.270)</w:t>
            </w:r>
          </w:p>
        </w:tc>
      </w:tr>
      <w:tr w:rsidR="00415057" w:rsidRPr="0009669D" w14:paraId="0A0BBB22" w14:textId="77777777" w:rsidTr="00C200CC">
        <w:trPr>
          <w:trHeight w:val="255"/>
          <w:jc w:val="center"/>
        </w:trPr>
        <w:tc>
          <w:tcPr>
            <w:tcW w:w="1200" w:type="dxa"/>
            <w:tcBorders>
              <w:top w:val="single" w:sz="4" w:space="0" w:color="auto"/>
              <w:left w:val="nil"/>
              <w:bottom w:val="single" w:sz="4" w:space="0" w:color="auto"/>
              <w:right w:val="nil"/>
            </w:tcBorders>
            <w:shd w:val="clear" w:color="000000" w:fill="FFFFFF"/>
            <w:noWrap/>
            <w:vAlign w:val="bottom"/>
            <w:hideMark/>
          </w:tcPr>
          <w:p w14:paraId="3B786091"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b/>
                <w:bCs/>
                <w:color w:val="000000"/>
                <w:sz w:val="20"/>
                <w:szCs w:val="20"/>
                <w:lang w:val="en-GB" w:eastAsia="es-ES"/>
              </w:rPr>
            </w:pPr>
            <w:r w:rsidRPr="0009669D">
              <w:rPr>
                <w:rFonts w:eastAsia="Times New Roman" w:cs="Times New Roman"/>
                <w:b/>
                <w:bCs/>
                <w:color w:val="000000"/>
                <w:sz w:val="20"/>
                <w:szCs w:val="20"/>
                <w:lang w:val="en-GB" w:eastAsia="es-ES"/>
              </w:rPr>
              <w:t>Obs.</w:t>
            </w:r>
          </w:p>
        </w:tc>
        <w:tc>
          <w:tcPr>
            <w:tcW w:w="1200" w:type="dxa"/>
            <w:tcBorders>
              <w:top w:val="single" w:sz="4" w:space="0" w:color="auto"/>
              <w:left w:val="nil"/>
              <w:bottom w:val="single" w:sz="4" w:space="0" w:color="auto"/>
              <w:right w:val="nil"/>
            </w:tcBorders>
            <w:shd w:val="clear" w:color="000000" w:fill="FFFFFF"/>
            <w:noWrap/>
            <w:vAlign w:val="bottom"/>
            <w:hideMark/>
          </w:tcPr>
          <w:p w14:paraId="141D6229"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1200" w:type="dxa"/>
            <w:tcBorders>
              <w:top w:val="single" w:sz="4" w:space="0" w:color="auto"/>
              <w:left w:val="nil"/>
              <w:bottom w:val="single" w:sz="4" w:space="0" w:color="auto"/>
              <w:right w:val="nil"/>
            </w:tcBorders>
            <w:shd w:val="clear" w:color="000000" w:fill="FFFFFF"/>
            <w:noWrap/>
            <w:vAlign w:val="bottom"/>
            <w:hideMark/>
          </w:tcPr>
          <w:p w14:paraId="464B7D4F"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1200" w:type="dxa"/>
            <w:tcBorders>
              <w:top w:val="single" w:sz="4" w:space="0" w:color="auto"/>
              <w:left w:val="nil"/>
              <w:bottom w:val="single" w:sz="4" w:space="0" w:color="auto"/>
              <w:right w:val="nil"/>
            </w:tcBorders>
            <w:shd w:val="clear" w:color="000000" w:fill="FFFFFF"/>
            <w:noWrap/>
            <w:vAlign w:val="bottom"/>
            <w:hideMark/>
          </w:tcPr>
          <w:p w14:paraId="5913254D"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1200" w:type="dxa"/>
            <w:tcBorders>
              <w:top w:val="single" w:sz="4" w:space="0" w:color="auto"/>
              <w:left w:val="nil"/>
              <w:bottom w:val="single" w:sz="4" w:space="0" w:color="auto"/>
              <w:right w:val="nil"/>
            </w:tcBorders>
            <w:shd w:val="clear" w:color="000000" w:fill="FFFFFF"/>
            <w:noWrap/>
            <w:vAlign w:val="bottom"/>
            <w:hideMark/>
          </w:tcPr>
          <w:p w14:paraId="4E8AE080"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c>
          <w:tcPr>
            <w:tcW w:w="1200" w:type="dxa"/>
            <w:tcBorders>
              <w:top w:val="single" w:sz="4" w:space="0" w:color="auto"/>
              <w:left w:val="nil"/>
              <w:bottom w:val="single" w:sz="4" w:space="0" w:color="auto"/>
              <w:right w:val="nil"/>
            </w:tcBorders>
            <w:shd w:val="clear" w:color="000000" w:fill="FFFFFF"/>
            <w:noWrap/>
            <w:vAlign w:val="bottom"/>
            <w:hideMark/>
          </w:tcPr>
          <w:p w14:paraId="40D36D0F" w14:textId="77777777" w:rsidR="00415057" w:rsidRPr="0009669D" w:rsidRDefault="00415057" w:rsidP="00C200CC">
            <w:pPr>
              <w:keepNext/>
              <w:spacing w:before="100" w:beforeAutospacing="1" w:after="100" w:afterAutospacing="1" w:line="276" w:lineRule="auto"/>
              <w:ind w:firstLine="0"/>
              <w:jc w:val="center"/>
              <w:rPr>
                <w:rFonts w:eastAsia="Times New Roman" w:cs="Times New Roman"/>
                <w:color w:val="000000"/>
                <w:sz w:val="20"/>
                <w:szCs w:val="20"/>
                <w:lang w:val="en-GB" w:eastAsia="es-ES"/>
              </w:rPr>
            </w:pPr>
            <w:r w:rsidRPr="0009669D">
              <w:rPr>
                <w:rFonts w:eastAsia="Times New Roman" w:cs="Times New Roman"/>
                <w:color w:val="000000"/>
                <w:sz w:val="20"/>
                <w:szCs w:val="20"/>
                <w:lang w:val="en-GB" w:eastAsia="es-ES"/>
              </w:rPr>
              <w:t>6513</w:t>
            </w:r>
          </w:p>
        </w:tc>
      </w:tr>
    </w:tbl>
    <w:p w14:paraId="0BC5DA96" w14:textId="77777777" w:rsidR="001F0647" w:rsidRPr="0009669D" w:rsidRDefault="001F0647" w:rsidP="0070319D">
      <w:pPr>
        <w:pStyle w:val="Ttulotablasygrficos"/>
        <w:ind w:firstLine="0"/>
        <w:rPr>
          <w:b w:val="0"/>
          <w:lang w:val="en-GB"/>
        </w:rPr>
      </w:pPr>
      <w:r w:rsidRPr="0009669D">
        <w:rPr>
          <w:b w:val="0"/>
          <w:lang w:val="en-GB"/>
        </w:rPr>
        <w:t>Source: own elaboration</w:t>
      </w:r>
    </w:p>
    <w:p w14:paraId="7F16C34A" w14:textId="77777777" w:rsidR="00415057" w:rsidRPr="0009669D" w:rsidRDefault="00415057" w:rsidP="0070319D">
      <w:pPr>
        <w:spacing w:after="0"/>
        <w:ind w:firstLine="0"/>
        <w:jc w:val="center"/>
        <w:rPr>
          <w:sz w:val="20"/>
          <w:szCs w:val="20"/>
          <w:lang w:val="en-GB"/>
        </w:rPr>
      </w:pPr>
      <w:r w:rsidRPr="0009669D">
        <w:rPr>
          <w:sz w:val="20"/>
          <w:szCs w:val="20"/>
          <w:lang w:val="en-GB"/>
        </w:rPr>
        <w:t xml:space="preserve">Note: All regressions include a full set of year dummies. Robust standard errors are presented in parenthesis. *, ** </w:t>
      </w:r>
      <w:proofErr w:type="gramStart"/>
      <w:r w:rsidRPr="0009669D">
        <w:rPr>
          <w:sz w:val="20"/>
          <w:szCs w:val="20"/>
          <w:lang w:val="en-GB"/>
        </w:rPr>
        <w:t>and</w:t>
      </w:r>
      <w:proofErr w:type="gramEnd"/>
      <w:r w:rsidRPr="0009669D">
        <w:rPr>
          <w:sz w:val="20"/>
          <w:szCs w:val="20"/>
          <w:lang w:val="en-GB"/>
        </w:rPr>
        <w:t xml:space="preserve"> *** indicate significance at 0,1%, 1% and 5% level, respectively.</w:t>
      </w:r>
    </w:p>
    <w:p w14:paraId="38EE58E2" w14:textId="77777777" w:rsidR="00277E6E" w:rsidRPr="0009669D" w:rsidRDefault="00277E6E" w:rsidP="00415057">
      <w:pPr>
        <w:spacing w:after="0"/>
        <w:ind w:firstLine="0"/>
        <w:jc w:val="left"/>
        <w:rPr>
          <w:sz w:val="20"/>
          <w:szCs w:val="20"/>
          <w:lang w:val="en-GB"/>
        </w:rPr>
      </w:pPr>
    </w:p>
    <w:p w14:paraId="4571EFA6" w14:textId="3F037B89" w:rsidR="007370F6" w:rsidRPr="0009669D" w:rsidRDefault="007370F6" w:rsidP="00415057">
      <w:pPr>
        <w:pStyle w:val="Prrafodelista"/>
        <w:numPr>
          <w:ilvl w:val="0"/>
          <w:numId w:val="19"/>
        </w:numPr>
        <w:spacing w:after="0"/>
        <w:jc w:val="left"/>
        <w:rPr>
          <w:b/>
          <w:lang w:val="en-GB"/>
        </w:rPr>
      </w:pPr>
      <w:r w:rsidRPr="0009669D">
        <w:rPr>
          <w:b/>
          <w:lang w:val="en-GB"/>
        </w:rPr>
        <w:t>CONCLUSIONS, RECOMMENDATIONS AND FUTURE LINES OF RESEARCH</w:t>
      </w:r>
    </w:p>
    <w:p w14:paraId="7477E44D" w14:textId="77777777" w:rsidR="007370F6" w:rsidRPr="0009669D" w:rsidRDefault="007370F6" w:rsidP="007370F6">
      <w:pPr>
        <w:spacing w:after="0"/>
        <w:ind w:firstLine="0"/>
        <w:rPr>
          <w:lang w:val="en-GB"/>
        </w:rPr>
      </w:pPr>
    </w:p>
    <w:p w14:paraId="75E8DC63" w14:textId="6E226916" w:rsidR="0006428E" w:rsidRPr="0009669D" w:rsidRDefault="0009669D" w:rsidP="0070319D">
      <w:pPr>
        <w:ind w:firstLine="0"/>
        <w:rPr>
          <w:lang w:val="en-GB"/>
        </w:rPr>
      </w:pPr>
      <w:r>
        <w:rPr>
          <w:lang w:val="en-GB"/>
        </w:rPr>
        <w:lastRenderedPageBreak/>
        <w:t>The present investigation analys</w:t>
      </w:r>
      <w:r w:rsidR="0006428E" w:rsidRPr="0009669D">
        <w:rPr>
          <w:lang w:val="en-GB"/>
        </w:rPr>
        <w:t>es the relationship between size and business growth measured through sales and number of employees. For the analysis, a sample of 2,915 small and medium enterprises of the Ecuadorian manufacturing sector was used, during the period 2012-2016. The research used a quantile regression model for a panel database under the assumption of fixed effects.</w:t>
      </w:r>
    </w:p>
    <w:p w14:paraId="4AE5C4CF" w14:textId="106A3897" w:rsidR="0006428E" w:rsidRPr="0009669D" w:rsidRDefault="0006428E" w:rsidP="0070319D">
      <w:pPr>
        <w:ind w:firstLine="0"/>
        <w:rPr>
          <w:rFonts w:eastAsia="Calibri" w:cs="Times New Roman"/>
          <w:lang w:val="en-GB"/>
        </w:rPr>
      </w:pPr>
      <w:r w:rsidRPr="0009669D">
        <w:rPr>
          <w:rFonts w:eastAsia="Calibri" w:cs="Times New Roman"/>
          <w:color w:val="000000" w:themeColor="text1"/>
          <w:szCs w:val="24"/>
          <w:lang w:val="en-GB"/>
        </w:rPr>
        <w:t xml:space="preserve">The results obtained in the estimations show that taking as dependent variables growth, measured through sales, and the number of employees there is a negative relationship between the size and growth of the company. </w:t>
      </w:r>
      <w:r w:rsidR="0009669D" w:rsidRPr="0009669D">
        <w:rPr>
          <w:rFonts w:eastAsia="Calibri" w:cs="Times New Roman"/>
          <w:lang w:val="en-GB"/>
        </w:rPr>
        <w:t>This indicates that smaller companies grow at a faster pace than larger companies.</w:t>
      </w:r>
      <w:r w:rsidRPr="0009669D">
        <w:rPr>
          <w:rFonts w:eastAsia="Calibri" w:cs="Times New Roman"/>
          <w:lang w:val="en-GB"/>
        </w:rPr>
        <w:t xml:space="preserve"> Possible justifications for this result may originate in the desire of small companies to reach a minimum efficient size to remain in the market (</w:t>
      </w:r>
      <w:proofErr w:type="spellStart"/>
      <w:r w:rsidRPr="0009669D">
        <w:rPr>
          <w:rFonts w:eastAsia="Calibri" w:cs="Times New Roman"/>
          <w:lang w:val="en-GB"/>
        </w:rPr>
        <w:t>Audretsch</w:t>
      </w:r>
      <w:proofErr w:type="spellEnd"/>
      <w:r w:rsidRPr="0009669D">
        <w:rPr>
          <w:rFonts w:eastAsia="Calibri" w:cs="Times New Roman"/>
          <w:lang w:val="en-GB"/>
        </w:rPr>
        <w:t xml:space="preserve"> et al., 2004) and / or the ability of small businesses to adapt to the changes that arise in the technological, social and economic environment from which arises the need to incorporate technology that accelerates the processes and reach a competitive advantage that allows them to grow (</w:t>
      </w:r>
      <w:proofErr w:type="spellStart"/>
      <w:r w:rsidRPr="0009669D">
        <w:rPr>
          <w:rFonts w:eastAsia="Calibri" w:cs="Times New Roman"/>
          <w:lang w:val="en-GB"/>
        </w:rPr>
        <w:t>Dini</w:t>
      </w:r>
      <w:proofErr w:type="spellEnd"/>
      <w:r w:rsidRPr="0009669D">
        <w:rPr>
          <w:rFonts w:eastAsia="Calibri" w:cs="Times New Roman"/>
          <w:lang w:val="en-GB"/>
        </w:rPr>
        <w:t xml:space="preserve"> &amp; </w:t>
      </w:r>
      <w:proofErr w:type="spellStart"/>
      <w:r w:rsidRPr="0009669D">
        <w:rPr>
          <w:rFonts w:eastAsia="Calibri" w:cs="Times New Roman"/>
          <w:lang w:val="en-GB"/>
        </w:rPr>
        <w:t>Stumpo</w:t>
      </w:r>
      <w:proofErr w:type="spellEnd"/>
      <w:r w:rsidRPr="0009669D">
        <w:rPr>
          <w:rFonts w:eastAsia="Calibri" w:cs="Times New Roman"/>
          <w:lang w:val="en-GB"/>
        </w:rPr>
        <w:t>, 2004).</w:t>
      </w:r>
    </w:p>
    <w:p w14:paraId="01FD3234" w14:textId="4D0DE013" w:rsidR="00C5235D" w:rsidRPr="0009669D" w:rsidRDefault="0006428E" w:rsidP="0070319D">
      <w:pPr>
        <w:ind w:firstLine="0"/>
        <w:rPr>
          <w:lang w:val="en-GB"/>
        </w:rPr>
      </w:pPr>
      <w:r w:rsidRPr="0009669D">
        <w:rPr>
          <w:lang w:val="en-GB"/>
        </w:rPr>
        <w:t>The findings obtained serve as input for the design of public and business policies. The public policy perspective is generally based on the assertion that small and new companies have lower growth potential than large companies, mainly because of competitive disadvantages (</w:t>
      </w:r>
      <w:proofErr w:type="spellStart"/>
      <w:r w:rsidRPr="0009669D">
        <w:rPr>
          <w:lang w:val="en-GB"/>
        </w:rPr>
        <w:t>Bentzen</w:t>
      </w:r>
      <w:proofErr w:type="spellEnd"/>
      <w:r w:rsidRPr="0009669D">
        <w:rPr>
          <w:lang w:val="en-GB"/>
        </w:rPr>
        <w:t xml:space="preserve"> et al., 2012).</w:t>
      </w:r>
      <w:r w:rsidR="00415057" w:rsidRPr="0009669D">
        <w:rPr>
          <w:lang w:val="en-GB"/>
        </w:rPr>
        <w:t xml:space="preserve"> </w:t>
      </w:r>
      <w:r w:rsidR="00C5235D" w:rsidRPr="0009669D">
        <w:rPr>
          <w:lang w:val="en-GB"/>
        </w:rPr>
        <w:t xml:space="preserve">However, in the present study it has been concluded that small businesses are the ones with higher growth rates than medium-sized </w:t>
      </w:r>
      <w:r w:rsidR="0009669D" w:rsidRPr="0009669D">
        <w:rPr>
          <w:lang w:val="en-GB"/>
        </w:rPr>
        <w:t>companies;</w:t>
      </w:r>
      <w:r w:rsidR="00C5235D" w:rsidRPr="0009669D">
        <w:rPr>
          <w:lang w:val="en-GB"/>
        </w:rPr>
        <w:t xml:space="preserve"> therefore it is important to raise awareness among those responsible for public policies that the economy can not depend solely on the potential of growth of the largest companies (</w:t>
      </w:r>
      <w:proofErr w:type="spellStart"/>
      <w:r w:rsidR="00C5235D" w:rsidRPr="0009669D">
        <w:rPr>
          <w:lang w:val="en-GB"/>
        </w:rPr>
        <w:t>Bentzen</w:t>
      </w:r>
      <w:proofErr w:type="spellEnd"/>
      <w:r w:rsidR="00C5235D" w:rsidRPr="0009669D">
        <w:rPr>
          <w:lang w:val="en-GB"/>
        </w:rPr>
        <w:t xml:space="preserve"> et al., 2012).</w:t>
      </w:r>
    </w:p>
    <w:p w14:paraId="356A041F" w14:textId="4CDBBF25" w:rsidR="00F44AF1" w:rsidRPr="0009669D" w:rsidRDefault="00F44AF1" w:rsidP="0070319D">
      <w:pPr>
        <w:ind w:firstLine="0"/>
        <w:rPr>
          <w:lang w:val="en-GB"/>
        </w:rPr>
      </w:pPr>
      <w:r w:rsidRPr="0009669D">
        <w:rPr>
          <w:lang w:val="en-GB"/>
        </w:rPr>
        <w:t>Our results suggest the implementation of public policies that promote growth, increased productivity and competitiveness of small manufacturing companies with high potential.</w:t>
      </w:r>
      <w:r w:rsidR="0009669D" w:rsidRPr="0009669D">
        <w:rPr>
          <w:lang w:val="en-GB"/>
        </w:rPr>
        <w:t xml:space="preserve"> </w:t>
      </w:r>
      <w:r w:rsidRPr="0009669D">
        <w:rPr>
          <w:lang w:val="en-GB"/>
        </w:rPr>
        <w:t xml:space="preserve">For this, according to </w:t>
      </w:r>
      <w:proofErr w:type="spellStart"/>
      <w:r w:rsidRPr="0009669D">
        <w:rPr>
          <w:lang w:val="en-GB"/>
        </w:rPr>
        <w:t>Miralles</w:t>
      </w:r>
      <w:proofErr w:type="spellEnd"/>
      <w:r w:rsidRPr="0009669D">
        <w:rPr>
          <w:lang w:val="en-GB"/>
        </w:rPr>
        <w:t xml:space="preserve"> et al. (2017) the government should design social and economic development strategies aimed at low-cost advice and financing, provision of funds for investment purposes, public-private partnerships and / or grants aimed especially at innovation and development projects, since, as reported by </w:t>
      </w:r>
      <w:proofErr w:type="spellStart"/>
      <w:r w:rsidRPr="0009669D">
        <w:rPr>
          <w:lang w:val="en-GB"/>
        </w:rPr>
        <w:t>Hyytinen</w:t>
      </w:r>
      <w:proofErr w:type="spellEnd"/>
      <w:r w:rsidRPr="0009669D">
        <w:rPr>
          <w:lang w:val="en-GB"/>
        </w:rPr>
        <w:t xml:space="preserve"> &amp; </w:t>
      </w:r>
      <w:proofErr w:type="spellStart"/>
      <w:r w:rsidRPr="0009669D">
        <w:rPr>
          <w:lang w:val="en-GB"/>
        </w:rPr>
        <w:t>Toivanen</w:t>
      </w:r>
      <w:proofErr w:type="spellEnd"/>
      <w:r w:rsidRPr="0009669D">
        <w:rPr>
          <w:lang w:val="en-GB"/>
        </w:rPr>
        <w:t xml:space="preserve"> (2005), there is a significant positive relationship between R &amp; D subsidies and company growth (</w:t>
      </w:r>
      <w:proofErr w:type="spellStart"/>
      <w:r w:rsidRPr="0009669D">
        <w:rPr>
          <w:lang w:val="en-GB"/>
        </w:rPr>
        <w:t>Carrizosa</w:t>
      </w:r>
      <w:proofErr w:type="spellEnd"/>
      <w:r w:rsidRPr="0009669D">
        <w:rPr>
          <w:lang w:val="en-GB"/>
        </w:rPr>
        <w:t>, 2007).</w:t>
      </w:r>
    </w:p>
    <w:p w14:paraId="4471CAB4" w14:textId="43332E1A" w:rsidR="002618F7" w:rsidRPr="0009669D" w:rsidRDefault="002618F7" w:rsidP="0070319D">
      <w:pPr>
        <w:ind w:firstLine="0"/>
        <w:rPr>
          <w:lang w:val="en-GB"/>
        </w:rPr>
      </w:pPr>
      <w:r w:rsidRPr="0009669D">
        <w:rPr>
          <w:lang w:val="en-GB"/>
        </w:rPr>
        <w:t>On the other hand, it is important that the employer contributes in the development of strategies and in the development of forms of association, focused on the creation of competitive advantages, with the purpose of diminishing the competitive barriers of small and medium enterprises. In Ecuador one of the causes that generate this type of problems according to Zapata (2004) is the economic situation of the country and the leadership style of the employer. Reason why the role of the administrator becomes a relevant factor in the development of SMEs, by virtue of being responsible for guiding their development and ensure the survival of companies in the market.</w:t>
      </w:r>
      <w:r w:rsidR="0009669D" w:rsidRPr="0009669D">
        <w:rPr>
          <w:lang w:val="en-GB"/>
        </w:rPr>
        <w:t xml:space="preserve"> </w:t>
      </w:r>
      <w:r w:rsidRPr="0009669D">
        <w:rPr>
          <w:lang w:val="en-GB"/>
        </w:rPr>
        <w:t>Relevant aspect if one considers its contribution to the economy of the country and the generation of employment (Chávez, 2013).</w:t>
      </w:r>
    </w:p>
    <w:p w14:paraId="7AEA508A" w14:textId="414F4AEB" w:rsidR="0004654D" w:rsidRPr="0009669D" w:rsidRDefault="000E537B" w:rsidP="0070319D">
      <w:pPr>
        <w:ind w:firstLine="0"/>
        <w:rPr>
          <w:lang w:val="en-GB"/>
        </w:rPr>
      </w:pPr>
      <w:r w:rsidRPr="0009669D">
        <w:rPr>
          <w:lang w:val="en-GB"/>
        </w:rPr>
        <w:t>Managers must go beyond the figures and look from a comprehensive approach the potential of SMEs to opt for strategies that allow their sustainable development, such as: the association of local companies that would benefit small and medium enterprises through greater participation in the market and strengthening them, since through the associations SMEs can obtain knowledge (know-how, development and aggregation of value) (</w:t>
      </w:r>
      <w:proofErr w:type="spellStart"/>
      <w:r w:rsidRPr="0009669D">
        <w:rPr>
          <w:lang w:val="en-GB"/>
        </w:rPr>
        <w:t>Velásquez</w:t>
      </w:r>
      <w:proofErr w:type="spellEnd"/>
      <w:r w:rsidRPr="0009669D">
        <w:rPr>
          <w:lang w:val="en-GB"/>
        </w:rPr>
        <w:t>, 2004).</w:t>
      </w:r>
    </w:p>
    <w:p w14:paraId="0A20BD4A" w14:textId="4A560712" w:rsidR="0004654D" w:rsidRPr="0009669D" w:rsidRDefault="000E537B" w:rsidP="0070319D">
      <w:pPr>
        <w:ind w:firstLine="0"/>
        <w:rPr>
          <w:lang w:val="en-GB"/>
        </w:rPr>
      </w:pPr>
      <w:r w:rsidRPr="0009669D">
        <w:rPr>
          <w:rFonts w:eastAsia="Calibri" w:cs="Times New Roman"/>
          <w:lang w:val="en-GB"/>
        </w:rPr>
        <w:lastRenderedPageBreak/>
        <w:t>With regard to age, the results are not conclusive since in certain quantiles this exerts a positive impact, in others a negative impact and in others it has no relation.</w:t>
      </w:r>
      <w:r w:rsidR="0009669D" w:rsidRPr="0009669D">
        <w:rPr>
          <w:rFonts w:eastAsia="Calibri" w:cs="Times New Roman"/>
          <w:lang w:val="en-GB"/>
        </w:rPr>
        <w:t xml:space="preserve"> </w:t>
      </w:r>
      <w:r w:rsidRPr="0009669D">
        <w:rPr>
          <w:rFonts w:eastAsia="Calibri" w:cs="Times New Roman"/>
          <w:lang w:val="en-GB"/>
        </w:rPr>
        <w:t>The positive impact indicates that mature companies have higher growth rates than younger companies, while the negative impact indicates that there is greater growth when the company is young (</w:t>
      </w:r>
      <w:proofErr w:type="spellStart"/>
      <w:r w:rsidRPr="0009669D">
        <w:rPr>
          <w:rFonts w:eastAsia="Calibri" w:cs="Times New Roman"/>
          <w:lang w:val="en-GB"/>
        </w:rPr>
        <w:t>Calvo</w:t>
      </w:r>
      <w:proofErr w:type="spellEnd"/>
      <w:r w:rsidRPr="0009669D">
        <w:rPr>
          <w:rFonts w:eastAsia="Calibri" w:cs="Times New Roman"/>
          <w:lang w:val="en-GB"/>
        </w:rPr>
        <w:t xml:space="preserve">, 2004, </w:t>
      </w:r>
      <w:proofErr w:type="spellStart"/>
      <w:r w:rsidRPr="0009669D">
        <w:rPr>
          <w:rFonts w:eastAsia="Calibri" w:cs="Times New Roman"/>
          <w:lang w:val="en-GB"/>
        </w:rPr>
        <w:t>Levratto</w:t>
      </w:r>
      <w:proofErr w:type="spellEnd"/>
      <w:r w:rsidRPr="0009669D">
        <w:rPr>
          <w:rFonts w:eastAsia="Calibri" w:cs="Times New Roman"/>
          <w:lang w:val="en-GB"/>
        </w:rPr>
        <w:t xml:space="preserve"> et al., 2010).</w:t>
      </w:r>
    </w:p>
    <w:p w14:paraId="1BBA78FC" w14:textId="243461B0" w:rsidR="00AA2771" w:rsidRPr="0009669D" w:rsidRDefault="000E537B" w:rsidP="0070319D">
      <w:pPr>
        <w:ind w:firstLine="0"/>
        <w:rPr>
          <w:rFonts w:eastAsia="Calibri" w:cs="Times New Roman"/>
          <w:lang w:val="en-GB"/>
        </w:rPr>
      </w:pPr>
      <w:r w:rsidRPr="0009669D">
        <w:rPr>
          <w:rFonts w:eastAsia="Calibri" w:cs="Times New Roman"/>
          <w:lang w:val="en-GB"/>
        </w:rPr>
        <w:t xml:space="preserve">With respect to capital, the results in our study are not conclusive to determine whether there is a negative or positive impact, by virtue of which the sign changes according to the quantile. According to </w:t>
      </w:r>
      <w:proofErr w:type="spellStart"/>
      <w:r w:rsidRPr="0009669D">
        <w:rPr>
          <w:rFonts w:eastAsia="Calibri" w:cs="Times New Roman"/>
          <w:lang w:val="en-GB"/>
        </w:rPr>
        <w:t>Carrizosa</w:t>
      </w:r>
      <w:proofErr w:type="spellEnd"/>
      <w:r w:rsidRPr="0009669D">
        <w:rPr>
          <w:rFonts w:eastAsia="Calibri" w:cs="Times New Roman"/>
          <w:lang w:val="en-GB"/>
        </w:rPr>
        <w:t xml:space="preserve"> (2007), the negative relationship indicates that capital acts as an obstacle to the growth of companies.</w:t>
      </w:r>
      <w:r w:rsidR="0004654D" w:rsidRPr="0009669D">
        <w:rPr>
          <w:rFonts w:eastAsia="Calibri" w:cs="Times New Roman"/>
          <w:lang w:val="en-GB"/>
        </w:rPr>
        <w:t xml:space="preserve"> </w:t>
      </w:r>
      <w:r w:rsidR="00AA2771" w:rsidRPr="0009669D">
        <w:rPr>
          <w:rFonts w:eastAsia="Calibri" w:cs="Times New Roman"/>
          <w:lang w:val="en-GB"/>
        </w:rPr>
        <w:t xml:space="preserve">And the positive relationship states that a greater investment in capital will increase the rate of growth. </w:t>
      </w:r>
      <w:r w:rsidR="0009669D" w:rsidRPr="0009669D">
        <w:rPr>
          <w:rFonts w:eastAsia="Calibri" w:cs="Times New Roman"/>
          <w:lang w:val="en-GB"/>
        </w:rPr>
        <w:t>This is why it is essential to apply an optimal capital structure that allows mitigating the structural deficiencies of companies (</w:t>
      </w:r>
      <w:proofErr w:type="spellStart"/>
      <w:r w:rsidR="0009669D" w:rsidRPr="0009669D">
        <w:rPr>
          <w:rFonts w:eastAsia="Calibri" w:cs="Times New Roman"/>
          <w:lang w:val="en-GB"/>
        </w:rPr>
        <w:t>Blázquez</w:t>
      </w:r>
      <w:proofErr w:type="spellEnd"/>
      <w:r w:rsidR="0009669D" w:rsidRPr="0009669D">
        <w:rPr>
          <w:rFonts w:eastAsia="Calibri" w:cs="Times New Roman"/>
          <w:lang w:val="en-GB"/>
        </w:rPr>
        <w:t xml:space="preserve"> et al., 2006).</w:t>
      </w:r>
    </w:p>
    <w:p w14:paraId="6D753DFD" w14:textId="06188F60" w:rsidR="003F1DBF" w:rsidRPr="0009669D" w:rsidRDefault="00AA2771" w:rsidP="0070319D">
      <w:pPr>
        <w:ind w:firstLine="0"/>
        <w:rPr>
          <w:rFonts w:eastAsia="Calibri" w:cs="Times New Roman"/>
          <w:lang w:val="en-GB"/>
        </w:rPr>
      </w:pPr>
      <w:r w:rsidRPr="0009669D">
        <w:rPr>
          <w:rFonts w:eastAsia="Calibri" w:cs="Times New Roman"/>
          <w:lang w:val="en-GB"/>
        </w:rPr>
        <w:t>Among the limitations of the research, it can be mentioned that the sample is focused on the analysis of small and medium-sized Ecuadorian manufacturing companies, so for future research it is suggested that the study include large companies</w:t>
      </w:r>
      <w:r w:rsidR="00DE65EB">
        <w:rPr>
          <w:rFonts w:eastAsia="Calibri" w:cs="Times New Roman"/>
          <w:lang w:val="en-GB"/>
        </w:rPr>
        <w:t xml:space="preserve"> </w:t>
      </w:r>
      <w:r w:rsidRPr="0009669D">
        <w:rPr>
          <w:rFonts w:eastAsia="Calibri" w:cs="Times New Roman"/>
          <w:lang w:val="en-GB"/>
        </w:rPr>
        <w:t xml:space="preserve">or focused on other economic activities such as the pharmaceutical </w:t>
      </w:r>
      <w:r w:rsidR="00DE65EB">
        <w:rPr>
          <w:rFonts w:eastAsia="Calibri" w:cs="Times New Roman"/>
          <w:lang w:val="en-GB"/>
        </w:rPr>
        <w:t xml:space="preserve">or </w:t>
      </w:r>
      <w:r w:rsidRPr="0009669D">
        <w:rPr>
          <w:rFonts w:eastAsia="Calibri" w:cs="Times New Roman"/>
          <w:lang w:val="en-GB"/>
        </w:rPr>
        <w:t>the technology sector</w:t>
      </w:r>
      <w:r w:rsidR="00DE65EB">
        <w:rPr>
          <w:rFonts w:eastAsia="Calibri" w:cs="Times New Roman"/>
          <w:lang w:val="en-GB"/>
        </w:rPr>
        <w:t xml:space="preserve">. </w:t>
      </w:r>
      <w:r w:rsidR="003F1DBF" w:rsidRPr="0009669D">
        <w:rPr>
          <w:rFonts w:eastAsia="Calibri" w:cs="Times New Roman"/>
          <w:lang w:val="en-GB"/>
        </w:rPr>
        <w:t>Additionally, factors specific to the industry, geographical areas, or macroeconomic variables that may reflect the current situation of the country in the analysis period or the effects of the crisis on the growth of companies were not considered</w:t>
      </w:r>
      <w:r w:rsidR="00DE65EB">
        <w:rPr>
          <w:rFonts w:eastAsia="Calibri" w:cs="Times New Roman"/>
          <w:lang w:val="en-GB"/>
        </w:rPr>
        <w:t xml:space="preserve">. </w:t>
      </w:r>
      <w:r w:rsidR="003F1DBF" w:rsidRPr="0009669D">
        <w:rPr>
          <w:rFonts w:eastAsia="Calibri" w:cs="Times New Roman"/>
          <w:lang w:val="en-GB"/>
        </w:rPr>
        <w:t>All these limitations constitute in turn future lines of research to be developed.</w:t>
      </w:r>
    </w:p>
    <w:p w14:paraId="3DE4D5F2" w14:textId="603E1C1E" w:rsidR="00415057" w:rsidRPr="0009669D" w:rsidRDefault="003F1DBF" w:rsidP="0070319D">
      <w:pPr>
        <w:ind w:firstLine="0"/>
        <w:rPr>
          <w:rFonts w:eastAsia="Calibri" w:cs="Times New Roman"/>
          <w:lang w:val="en-GB"/>
        </w:rPr>
      </w:pPr>
      <w:r w:rsidRPr="0009669D">
        <w:rPr>
          <w:rFonts w:eastAsia="Calibri" w:cs="Times New Roman"/>
          <w:lang w:val="en-GB"/>
        </w:rPr>
        <w:t>Despite the limitations mentioned, this research contributes to fill the empirical literature emptiness regarding bu</w:t>
      </w:r>
      <w:r w:rsidR="00415057" w:rsidRPr="0009669D">
        <w:rPr>
          <w:rFonts w:eastAsia="Calibri" w:cs="Times New Roman"/>
          <w:lang w:val="en-GB"/>
        </w:rPr>
        <w:t xml:space="preserve">siness growth in Latin America. </w:t>
      </w:r>
      <w:r w:rsidRPr="0009669D">
        <w:rPr>
          <w:rFonts w:eastAsia="Calibri" w:cs="Times New Roman"/>
          <w:lang w:val="en-GB"/>
        </w:rPr>
        <w:t>The main contributions of this research are related to the methodological aspects, the sample object of analysis focuses on all the small and medium enterprises of the manufacturing sector.</w:t>
      </w:r>
      <w:r w:rsidR="0004654D" w:rsidRPr="0009669D">
        <w:rPr>
          <w:rFonts w:eastAsia="Calibri" w:cs="Times New Roman"/>
          <w:lang w:val="en-GB"/>
        </w:rPr>
        <w:t xml:space="preserve"> </w:t>
      </w:r>
      <w:r w:rsidRPr="0009669D">
        <w:rPr>
          <w:rFonts w:eastAsia="Calibri" w:cs="Times New Roman"/>
          <w:lang w:val="en-GB"/>
        </w:rPr>
        <w:t>In addition, an econometric model based on quantile regressions that considers the existence of atypical values of the sample was applied. In addition, the results obtained in this research serve as input for both business decision-making, as well as for the development of public policy guidelines for companies in Ecuador and for countries with economies in transition.</w:t>
      </w:r>
    </w:p>
    <w:p w14:paraId="1AD096AA" w14:textId="77777777" w:rsidR="00415057" w:rsidRPr="0009669D" w:rsidRDefault="00415057" w:rsidP="00415057">
      <w:pPr>
        <w:tabs>
          <w:tab w:val="left" w:pos="1950"/>
        </w:tabs>
        <w:rPr>
          <w:rFonts w:eastAsia="Calibri" w:cs="Times New Roman"/>
          <w:lang w:val="en-GB"/>
        </w:rPr>
      </w:pPr>
    </w:p>
    <w:p w14:paraId="6E91507D" w14:textId="77777777" w:rsidR="00415057" w:rsidRPr="0009669D" w:rsidRDefault="00415057" w:rsidP="0070319D">
      <w:pPr>
        <w:spacing w:before="240" w:after="0"/>
        <w:ind w:left="708" w:hanging="708"/>
        <w:rPr>
          <w:rFonts w:eastAsia="Calibri" w:cs="Times New Roman"/>
          <w:b/>
          <w:lang w:val="en-GB"/>
        </w:rPr>
      </w:pPr>
      <w:r w:rsidRPr="0009669D">
        <w:rPr>
          <w:rFonts w:eastAsia="Calibri" w:cs="Times New Roman"/>
          <w:b/>
          <w:lang w:val="en-GB"/>
        </w:rPr>
        <w:t>References</w:t>
      </w:r>
    </w:p>
    <w:p w14:paraId="57C9B462"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es-ES"/>
        </w:rPr>
        <w:t xml:space="preserve">Acosta, M., Correa, A., &amp; González, A. (2001). Crecimiento en la pyme canaria: influencia del tamaño, la edad y el sector de actividad. </w:t>
      </w:r>
      <w:proofErr w:type="spellStart"/>
      <w:proofErr w:type="gramStart"/>
      <w:r w:rsidRPr="0009669D">
        <w:rPr>
          <w:rFonts w:eastAsia="Calibri" w:cs="Times New Roman"/>
          <w:lang w:val="en-GB"/>
        </w:rPr>
        <w:t>Documento</w:t>
      </w:r>
      <w:proofErr w:type="spellEnd"/>
      <w:r w:rsidRPr="0009669D">
        <w:rPr>
          <w:rFonts w:eastAsia="Calibri" w:cs="Times New Roman"/>
          <w:lang w:val="en-GB"/>
        </w:rPr>
        <w:t xml:space="preserve"> de </w:t>
      </w:r>
      <w:proofErr w:type="spellStart"/>
      <w:r w:rsidRPr="0009669D">
        <w:rPr>
          <w:rFonts w:eastAsia="Calibri" w:cs="Times New Roman"/>
          <w:lang w:val="en-GB"/>
        </w:rPr>
        <w:t>trabajo</w:t>
      </w:r>
      <w:proofErr w:type="spellEnd"/>
      <w:r w:rsidRPr="0009669D">
        <w:rPr>
          <w:rFonts w:eastAsia="Calibri" w:cs="Times New Roman"/>
          <w:lang w:val="en-GB"/>
        </w:rPr>
        <w:t>, 01.</w:t>
      </w:r>
      <w:proofErr w:type="gramEnd"/>
    </w:p>
    <w:p w14:paraId="7019FFDF" w14:textId="77777777" w:rsidR="00415057" w:rsidRPr="0009669D" w:rsidRDefault="00415057" w:rsidP="0070319D">
      <w:pPr>
        <w:spacing w:before="240" w:after="0"/>
        <w:ind w:left="708" w:hanging="708"/>
        <w:rPr>
          <w:rFonts w:eastAsia="Calibri" w:cs="Times New Roman"/>
          <w:lang w:val="en-GB"/>
        </w:rPr>
      </w:pPr>
      <w:proofErr w:type="spellStart"/>
      <w:proofErr w:type="gramStart"/>
      <w:r w:rsidRPr="0009669D">
        <w:rPr>
          <w:rFonts w:eastAsia="Calibri" w:cs="Times New Roman"/>
          <w:lang w:val="en-GB"/>
        </w:rPr>
        <w:t>Aivazian</w:t>
      </w:r>
      <w:proofErr w:type="spellEnd"/>
      <w:r w:rsidRPr="0009669D">
        <w:rPr>
          <w:rFonts w:eastAsia="Calibri" w:cs="Times New Roman"/>
          <w:lang w:val="en-GB"/>
        </w:rPr>
        <w:t xml:space="preserve">, V., Ge, Y., &amp; </w:t>
      </w:r>
      <w:proofErr w:type="spellStart"/>
      <w:r w:rsidRPr="0009669D">
        <w:rPr>
          <w:rFonts w:eastAsia="Calibri" w:cs="Times New Roman"/>
          <w:lang w:val="en-GB"/>
        </w:rPr>
        <w:t>Qiu</w:t>
      </w:r>
      <w:proofErr w:type="spellEnd"/>
      <w:r w:rsidRPr="0009669D">
        <w:rPr>
          <w:rFonts w:eastAsia="Calibri" w:cs="Times New Roman"/>
          <w:lang w:val="en-GB"/>
        </w:rPr>
        <w:t>, J. (2005).</w:t>
      </w:r>
      <w:proofErr w:type="gramEnd"/>
      <w:r w:rsidRPr="0009669D">
        <w:rPr>
          <w:rFonts w:eastAsia="Calibri" w:cs="Times New Roman"/>
          <w:lang w:val="en-GB"/>
        </w:rPr>
        <w:t xml:space="preserve"> The impact of leverage on firm investment: Canadian evidence. Journal of Corporate Finance, 11, 277-291.</w:t>
      </w:r>
    </w:p>
    <w:p w14:paraId="3079F9E9" w14:textId="77777777" w:rsidR="00415057" w:rsidRPr="0009669D" w:rsidRDefault="00415057" w:rsidP="0070319D">
      <w:pPr>
        <w:spacing w:before="240" w:after="0"/>
        <w:ind w:left="708" w:hanging="708"/>
        <w:rPr>
          <w:rFonts w:eastAsia="Calibri" w:cs="Times New Roman"/>
          <w:lang w:val="en-GB"/>
        </w:rPr>
      </w:pPr>
      <w:proofErr w:type="spellStart"/>
      <w:r w:rsidRPr="0009669D">
        <w:rPr>
          <w:rFonts w:eastAsia="Calibri" w:cs="Times New Roman"/>
          <w:lang w:val="en-GB"/>
        </w:rPr>
        <w:t>Almsafir</w:t>
      </w:r>
      <w:proofErr w:type="spellEnd"/>
      <w:r w:rsidRPr="0009669D">
        <w:rPr>
          <w:rFonts w:eastAsia="Calibri" w:cs="Times New Roman"/>
          <w:lang w:val="en-GB"/>
        </w:rPr>
        <w:t xml:space="preserve">, M. K., </w:t>
      </w:r>
      <w:proofErr w:type="spellStart"/>
      <w:r w:rsidRPr="0009669D">
        <w:rPr>
          <w:rFonts w:eastAsia="Calibri" w:cs="Times New Roman"/>
          <w:lang w:val="en-GB"/>
        </w:rPr>
        <w:t>Nassar</w:t>
      </w:r>
      <w:proofErr w:type="spellEnd"/>
      <w:r w:rsidRPr="0009669D">
        <w:rPr>
          <w:rFonts w:eastAsia="Calibri" w:cs="Times New Roman"/>
          <w:lang w:val="en-GB"/>
        </w:rPr>
        <w:t>, I. A., Al-</w:t>
      </w:r>
      <w:proofErr w:type="spellStart"/>
      <w:r w:rsidRPr="0009669D">
        <w:rPr>
          <w:rFonts w:eastAsia="Calibri" w:cs="Times New Roman"/>
          <w:lang w:val="en-GB"/>
        </w:rPr>
        <w:t>Mahrouq</w:t>
      </w:r>
      <w:proofErr w:type="spellEnd"/>
      <w:r w:rsidRPr="0009669D">
        <w:rPr>
          <w:rFonts w:eastAsia="Calibri" w:cs="Times New Roman"/>
          <w:lang w:val="en-GB"/>
        </w:rPr>
        <w:t xml:space="preserve">, M. H., &amp; </w:t>
      </w:r>
      <w:proofErr w:type="spellStart"/>
      <w:r w:rsidRPr="0009669D">
        <w:rPr>
          <w:rFonts w:eastAsia="Calibri" w:cs="Times New Roman"/>
          <w:lang w:val="en-GB"/>
        </w:rPr>
        <w:t>Hayajneh</w:t>
      </w:r>
      <w:proofErr w:type="spellEnd"/>
      <w:r w:rsidRPr="0009669D">
        <w:rPr>
          <w:rFonts w:eastAsia="Calibri" w:cs="Times New Roman"/>
          <w:lang w:val="en-GB"/>
        </w:rPr>
        <w:t>, J. A. (2015). The Validity of Gibrat's Law: Evidence from the Service Sector in Jordan. Procedia Economics and Finance, 23, 1602-1606.</w:t>
      </w:r>
    </w:p>
    <w:p w14:paraId="527528B3" w14:textId="77777777" w:rsidR="00415057" w:rsidRPr="00CB7626" w:rsidRDefault="00415057" w:rsidP="0070319D">
      <w:pPr>
        <w:spacing w:before="240" w:after="0"/>
        <w:ind w:left="708" w:hanging="708"/>
        <w:rPr>
          <w:rFonts w:eastAsia="Calibri" w:cs="Times New Roman"/>
          <w:lang w:val="es-ES"/>
        </w:rPr>
      </w:pPr>
      <w:proofErr w:type="spellStart"/>
      <w:proofErr w:type="gramStart"/>
      <w:r w:rsidRPr="0009669D">
        <w:rPr>
          <w:rFonts w:eastAsia="Calibri" w:cs="Times New Roman"/>
          <w:lang w:val="en-GB"/>
        </w:rPr>
        <w:t>Almus</w:t>
      </w:r>
      <w:proofErr w:type="spellEnd"/>
      <w:r w:rsidRPr="0009669D">
        <w:rPr>
          <w:rFonts w:eastAsia="Calibri" w:cs="Times New Roman"/>
          <w:lang w:val="en-GB"/>
        </w:rPr>
        <w:t xml:space="preserve">, M., &amp; </w:t>
      </w:r>
      <w:proofErr w:type="spellStart"/>
      <w:r w:rsidRPr="0009669D">
        <w:rPr>
          <w:rFonts w:eastAsia="Calibri" w:cs="Times New Roman"/>
          <w:lang w:val="en-GB"/>
        </w:rPr>
        <w:t>Nerlinger</w:t>
      </w:r>
      <w:proofErr w:type="spellEnd"/>
      <w:r w:rsidRPr="0009669D">
        <w:rPr>
          <w:rFonts w:eastAsia="Calibri" w:cs="Times New Roman"/>
          <w:lang w:val="en-GB"/>
        </w:rPr>
        <w:t>, E. (2000).</w:t>
      </w:r>
      <w:proofErr w:type="gramEnd"/>
      <w:r w:rsidRPr="0009669D">
        <w:rPr>
          <w:rFonts w:eastAsia="Calibri" w:cs="Times New Roman"/>
          <w:lang w:val="en-GB"/>
        </w:rPr>
        <w:t xml:space="preserve"> Testing "Gibrat's Law" for young firms-empirical results for West Germany. </w:t>
      </w:r>
      <w:r w:rsidRPr="00CB7626">
        <w:rPr>
          <w:rFonts w:eastAsia="Calibri" w:cs="Times New Roman"/>
          <w:lang w:val="es-ES"/>
        </w:rPr>
        <w:t xml:space="preserve">Small Business </w:t>
      </w:r>
      <w:proofErr w:type="spellStart"/>
      <w:r w:rsidRPr="00CB7626">
        <w:rPr>
          <w:rFonts w:eastAsia="Calibri" w:cs="Times New Roman"/>
          <w:lang w:val="es-ES"/>
        </w:rPr>
        <w:t>Economics</w:t>
      </w:r>
      <w:proofErr w:type="spellEnd"/>
      <w:r w:rsidRPr="00CB7626">
        <w:rPr>
          <w:rFonts w:eastAsia="Calibri" w:cs="Times New Roman"/>
          <w:lang w:val="es-ES"/>
        </w:rPr>
        <w:t>, 15(1), 1-12.</w:t>
      </w:r>
    </w:p>
    <w:p w14:paraId="73A738AF" w14:textId="77777777" w:rsidR="00415057" w:rsidRPr="001461CC" w:rsidRDefault="00415057" w:rsidP="0070319D">
      <w:pPr>
        <w:spacing w:before="240" w:after="0"/>
        <w:ind w:left="708" w:hanging="708"/>
        <w:rPr>
          <w:rFonts w:eastAsia="Calibri" w:cs="Times New Roman"/>
          <w:lang w:val="es-ES"/>
        </w:rPr>
      </w:pPr>
      <w:r w:rsidRPr="001461CC">
        <w:rPr>
          <w:rFonts w:eastAsia="Calibri" w:cs="Times New Roman"/>
          <w:lang w:val="es-ES"/>
        </w:rPr>
        <w:t>Amores, R. E., &amp; Castillo, V. A. (2017). Las PYMES ecuatorianas: su impacto en el empleo como contribución del PIB PYMES al PIB total. Espacios, 38(53), 15.</w:t>
      </w:r>
    </w:p>
    <w:p w14:paraId="713693B9"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es-ES"/>
        </w:rPr>
        <w:lastRenderedPageBreak/>
        <w:t xml:space="preserve">Arellano, M., &amp; </w:t>
      </w:r>
      <w:proofErr w:type="spellStart"/>
      <w:r w:rsidRPr="001461CC">
        <w:rPr>
          <w:rFonts w:eastAsia="Calibri" w:cs="Times New Roman"/>
          <w:lang w:val="es-ES"/>
        </w:rPr>
        <w:t>Bover</w:t>
      </w:r>
      <w:proofErr w:type="spellEnd"/>
      <w:r w:rsidRPr="001461CC">
        <w:rPr>
          <w:rFonts w:eastAsia="Calibri" w:cs="Times New Roman"/>
          <w:lang w:val="es-ES"/>
        </w:rPr>
        <w:t xml:space="preserve">, O. (1990). La econometría de datos de panel. </w:t>
      </w:r>
      <w:proofErr w:type="spellStart"/>
      <w:proofErr w:type="gramStart"/>
      <w:r w:rsidRPr="0009669D">
        <w:rPr>
          <w:rFonts w:eastAsia="Calibri" w:cs="Times New Roman"/>
          <w:lang w:val="en-GB"/>
        </w:rPr>
        <w:t>Investigaciones</w:t>
      </w:r>
      <w:proofErr w:type="spellEnd"/>
      <w:r w:rsidRPr="0009669D">
        <w:rPr>
          <w:rFonts w:eastAsia="Calibri" w:cs="Times New Roman"/>
          <w:lang w:val="en-GB"/>
        </w:rPr>
        <w:t xml:space="preserve"> </w:t>
      </w:r>
      <w:proofErr w:type="spellStart"/>
      <w:r w:rsidRPr="0009669D">
        <w:rPr>
          <w:rFonts w:eastAsia="Calibri" w:cs="Times New Roman"/>
          <w:lang w:val="en-GB"/>
        </w:rPr>
        <w:t>económicas</w:t>
      </w:r>
      <w:proofErr w:type="spellEnd"/>
      <w:r w:rsidRPr="0009669D">
        <w:rPr>
          <w:rFonts w:eastAsia="Calibri" w:cs="Times New Roman"/>
          <w:lang w:val="en-GB"/>
        </w:rPr>
        <w:t>, 14(1), 3-45.</w:t>
      </w:r>
      <w:proofErr w:type="gramEnd"/>
    </w:p>
    <w:p w14:paraId="55CE0DAD" w14:textId="77777777" w:rsidR="00415057" w:rsidRPr="0009669D" w:rsidRDefault="00415057" w:rsidP="0070319D">
      <w:pPr>
        <w:spacing w:before="240" w:after="0"/>
        <w:ind w:left="708" w:hanging="708"/>
        <w:rPr>
          <w:rFonts w:eastAsia="Calibri" w:cs="Times New Roman"/>
          <w:lang w:val="en-GB"/>
        </w:rPr>
      </w:pPr>
      <w:r w:rsidRPr="0009669D">
        <w:rPr>
          <w:rFonts w:eastAsia="Calibri" w:cs="Times New Roman"/>
          <w:lang w:val="en-GB"/>
        </w:rPr>
        <w:t xml:space="preserve">Aslan, A. (2008). Testing Gibrat's law: Empirical evidence from panel unit root tests of Turkish firms. Munich Personal </w:t>
      </w:r>
      <w:proofErr w:type="spellStart"/>
      <w:r w:rsidRPr="0009669D">
        <w:rPr>
          <w:rFonts w:eastAsia="Calibri" w:cs="Times New Roman"/>
          <w:lang w:val="en-GB"/>
        </w:rPr>
        <w:t>RePEc</w:t>
      </w:r>
      <w:proofErr w:type="spellEnd"/>
      <w:r w:rsidRPr="0009669D">
        <w:rPr>
          <w:rFonts w:eastAsia="Calibri" w:cs="Times New Roman"/>
          <w:lang w:val="en-GB"/>
        </w:rPr>
        <w:t xml:space="preserve"> Archive.</w:t>
      </w:r>
    </w:p>
    <w:p w14:paraId="5CEF8E39" w14:textId="77777777" w:rsidR="00415057" w:rsidRPr="0009669D" w:rsidRDefault="00415057" w:rsidP="0070319D">
      <w:pPr>
        <w:spacing w:before="240" w:after="0"/>
        <w:ind w:left="708" w:hanging="708"/>
        <w:rPr>
          <w:rFonts w:eastAsia="Calibri" w:cs="Times New Roman"/>
          <w:lang w:val="en-GB"/>
        </w:rPr>
      </w:pPr>
      <w:proofErr w:type="spellStart"/>
      <w:r w:rsidRPr="0009669D">
        <w:rPr>
          <w:rFonts w:eastAsia="Calibri" w:cs="Times New Roman"/>
          <w:lang w:val="en-GB"/>
        </w:rPr>
        <w:t>Audretsch</w:t>
      </w:r>
      <w:proofErr w:type="spellEnd"/>
      <w:r w:rsidRPr="0009669D">
        <w:rPr>
          <w:rFonts w:eastAsia="Calibri" w:cs="Times New Roman"/>
          <w:lang w:val="en-GB"/>
        </w:rPr>
        <w:t xml:space="preserve">, D. B., </w:t>
      </w:r>
      <w:proofErr w:type="spellStart"/>
      <w:r w:rsidRPr="0009669D">
        <w:rPr>
          <w:rFonts w:eastAsia="Calibri" w:cs="Times New Roman"/>
          <w:lang w:val="en-GB"/>
        </w:rPr>
        <w:t>Klomp</w:t>
      </w:r>
      <w:proofErr w:type="spellEnd"/>
      <w:r w:rsidRPr="0009669D">
        <w:rPr>
          <w:rFonts w:eastAsia="Calibri" w:cs="Times New Roman"/>
          <w:lang w:val="en-GB"/>
        </w:rPr>
        <w:t xml:space="preserve">, L., &amp; </w:t>
      </w:r>
      <w:proofErr w:type="spellStart"/>
      <w:r w:rsidRPr="0009669D">
        <w:rPr>
          <w:rFonts w:eastAsia="Calibri" w:cs="Times New Roman"/>
          <w:lang w:val="en-GB"/>
        </w:rPr>
        <w:t>Thurik</w:t>
      </w:r>
      <w:proofErr w:type="spellEnd"/>
      <w:r w:rsidRPr="0009669D">
        <w:rPr>
          <w:rFonts w:eastAsia="Calibri" w:cs="Times New Roman"/>
          <w:lang w:val="en-GB"/>
        </w:rPr>
        <w:t>, A. R. (2004). Gibrat's Law: are the services different? Review of Industrial Organization, 24(3), 301-324.</w:t>
      </w:r>
    </w:p>
    <w:p w14:paraId="6D2FFB85" w14:textId="77777777" w:rsidR="00415057" w:rsidRPr="0009669D" w:rsidRDefault="00415057" w:rsidP="0070319D">
      <w:pPr>
        <w:spacing w:before="240" w:after="0"/>
        <w:ind w:left="708" w:hanging="708"/>
        <w:rPr>
          <w:rFonts w:eastAsia="Calibri" w:cs="Times New Roman"/>
          <w:lang w:val="en-GB"/>
        </w:rPr>
      </w:pPr>
      <w:proofErr w:type="spellStart"/>
      <w:r w:rsidRPr="0009669D">
        <w:rPr>
          <w:rFonts w:eastAsia="Calibri" w:cs="Times New Roman"/>
          <w:lang w:val="en-GB"/>
        </w:rPr>
        <w:t>Becchetti</w:t>
      </w:r>
      <w:proofErr w:type="spellEnd"/>
      <w:r w:rsidRPr="0009669D">
        <w:rPr>
          <w:rFonts w:eastAsia="Calibri" w:cs="Times New Roman"/>
          <w:lang w:val="en-GB"/>
        </w:rPr>
        <w:t xml:space="preserve">, L., &amp; </w:t>
      </w:r>
      <w:proofErr w:type="spellStart"/>
      <w:r w:rsidRPr="0009669D">
        <w:rPr>
          <w:rFonts w:eastAsia="Calibri" w:cs="Times New Roman"/>
          <w:lang w:val="en-GB"/>
        </w:rPr>
        <w:t>Trovato</w:t>
      </w:r>
      <w:proofErr w:type="spellEnd"/>
      <w:r w:rsidRPr="0009669D">
        <w:rPr>
          <w:rFonts w:eastAsia="Calibri" w:cs="Times New Roman"/>
          <w:lang w:val="en-GB"/>
        </w:rPr>
        <w:t xml:space="preserve">, G. (2002). The determinants of growth for small and medium sized firms. </w:t>
      </w:r>
      <w:proofErr w:type="gramStart"/>
      <w:r w:rsidRPr="0009669D">
        <w:rPr>
          <w:rFonts w:eastAsia="Calibri" w:cs="Times New Roman"/>
          <w:lang w:val="en-GB"/>
        </w:rPr>
        <w:t>The role of the availability of external finance.</w:t>
      </w:r>
      <w:proofErr w:type="gramEnd"/>
      <w:r w:rsidRPr="0009669D">
        <w:rPr>
          <w:rFonts w:eastAsia="Calibri" w:cs="Times New Roman"/>
          <w:lang w:val="en-GB"/>
        </w:rPr>
        <w:t xml:space="preserve"> Small Business Economics, 19(4), 291-306.</w:t>
      </w:r>
    </w:p>
    <w:p w14:paraId="64D0FCD9" w14:textId="77777777" w:rsidR="00415057" w:rsidRPr="00CB7626" w:rsidRDefault="00415057" w:rsidP="0070319D">
      <w:pPr>
        <w:spacing w:before="240" w:after="0"/>
        <w:ind w:left="708" w:hanging="708"/>
        <w:rPr>
          <w:rFonts w:eastAsia="Calibri" w:cs="Times New Roman"/>
          <w:lang w:val="es-ES"/>
        </w:rPr>
      </w:pPr>
      <w:proofErr w:type="spellStart"/>
      <w:proofErr w:type="gramStart"/>
      <w:r w:rsidRPr="0009669D">
        <w:rPr>
          <w:rFonts w:eastAsia="Calibri" w:cs="Times New Roman"/>
          <w:lang w:val="en-GB"/>
        </w:rPr>
        <w:t>Bentzen</w:t>
      </w:r>
      <w:proofErr w:type="spellEnd"/>
      <w:r w:rsidRPr="0009669D">
        <w:rPr>
          <w:rFonts w:eastAsia="Calibri" w:cs="Times New Roman"/>
          <w:lang w:val="en-GB"/>
        </w:rPr>
        <w:t>, J., Madsen, E. S., &amp; Smith, V. (2012).</w:t>
      </w:r>
      <w:proofErr w:type="gramEnd"/>
      <w:r w:rsidRPr="0009669D">
        <w:rPr>
          <w:rFonts w:eastAsia="Calibri" w:cs="Times New Roman"/>
          <w:lang w:val="en-GB"/>
        </w:rPr>
        <w:t xml:space="preserve"> Do firms' growth rates depend on firm size? </w:t>
      </w:r>
      <w:r w:rsidRPr="00CB7626">
        <w:rPr>
          <w:rFonts w:eastAsia="Calibri" w:cs="Times New Roman"/>
          <w:lang w:val="es-ES"/>
        </w:rPr>
        <w:t xml:space="preserve">Small Business </w:t>
      </w:r>
      <w:proofErr w:type="spellStart"/>
      <w:r w:rsidRPr="00CB7626">
        <w:rPr>
          <w:rFonts w:eastAsia="Calibri" w:cs="Times New Roman"/>
          <w:lang w:val="es-ES"/>
        </w:rPr>
        <w:t>Economics</w:t>
      </w:r>
      <w:proofErr w:type="spellEnd"/>
      <w:r w:rsidRPr="00CB7626">
        <w:rPr>
          <w:rFonts w:eastAsia="Calibri" w:cs="Times New Roman"/>
          <w:lang w:val="es-ES"/>
        </w:rPr>
        <w:t>, 39(4), 937-947.</w:t>
      </w:r>
    </w:p>
    <w:p w14:paraId="40810173" w14:textId="77777777" w:rsidR="00415057" w:rsidRPr="001461CC" w:rsidRDefault="00415057" w:rsidP="0070319D">
      <w:pPr>
        <w:spacing w:before="240" w:after="0"/>
        <w:ind w:left="708" w:hanging="708"/>
        <w:rPr>
          <w:rFonts w:eastAsia="Calibri" w:cs="Times New Roman"/>
          <w:lang w:val="es-ES"/>
        </w:rPr>
      </w:pPr>
      <w:r w:rsidRPr="001461CC">
        <w:rPr>
          <w:rFonts w:eastAsia="Calibri" w:cs="Times New Roman"/>
          <w:lang w:val="es-ES"/>
        </w:rPr>
        <w:t xml:space="preserve">Blázquez, F., </w:t>
      </w:r>
      <w:proofErr w:type="spellStart"/>
      <w:r w:rsidRPr="001461CC">
        <w:rPr>
          <w:rFonts w:eastAsia="Calibri" w:cs="Times New Roman"/>
          <w:lang w:val="es-ES"/>
        </w:rPr>
        <w:t>Dorta</w:t>
      </w:r>
      <w:proofErr w:type="spellEnd"/>
      <w:r w:rsidRPr="001461CC">
        <w:rPr>
          <w:rFonts w:eastAsia="Calibri" w:cs="Times New Roman"/>
          <w:lang w:val="es-ES"/>
        </w:rPr>
        <w:t>, J., &amp; Verona, M. (2006). Concepto, perspectivas y medida del crecimiento empresarial, 19(31), 165–195.</w:t>
      </w:r>
    </w:p>
    <w:p w14:paraId="302172D8" w14:textId="77777777" w:rsidR="00415057" w:rsidRPr="0009669D" w:rsidRDefault="00415057" w:rsidP="0070319D">
      <w:pPr>
        <w:spacing w:before="240" w:after="0"/>
        <w:ind w:left="708" w:hanging="708"/>
        <w:rPr>
          <w:rFonts w:eastAsia="Calibri" w:cs="Times New Roman"/>
          <w:lang w:val="en-GB"/>
        </w:rPr>
      </w:pPr>
      <w:proofErr w:type="gramStart"/>
      <w:r w:rsidRPr="0009669D">
        <w:rPr>
          <w:rFonts w:eastAsia="Calibri" w:cs="Times New Roman"/>
          <w:lang w:val="en-GB"/>
        </w:rPr>
        <w:t xml:space="preserve">Brenner, T., &amp; </w:t>
      </w:r>
      <w:proofErr w:type="spellStart"/>
      <w:r w:rsidRPr="0009669D">
        <w:rPr>
          <w:rFonts w:eastAsia="Calibri" w:cs="Times New Roman"/>
          <w:lang w:val="en-GB"/>
        </w:rPr>
        <w:t>Schimke</w:t>
      </w:r>
      <w:proofErr w:type="spellEnd"/>
      <w:r w:rsidRPr="0009669D">
        <w:rPr>
          <w:rFonts w:eastAsia="Calibri" w:cs="Times New Roman"/>
          <w:lang w:val="en-GB"/>
        </w:rPr>
        <w:t>, A. (2015).</w:t>
      </w:r>
      <w:proofErr w:type="gramEnd"/>
      <w:r w:rsidRPr="0009669D">
        <w:rPr>
          <w:rFonts w:eastAsia="Calibri" w:cs="Times New Roman"/>
          <w:lang w:val="en-GB"/>
        </w:rPr>
        <w:t xml:space="preserve"> </w:t>
      </w:r>
      <w:proofErr w:type="gramStart"/>
      <w:r w:rsidRPr="0009669D">
        <w:rPr>
          <w:rFonts w:eastAsia="Calibri" w:cs="Times New Roman"/>
          <w:lang w:val="en-GB"/>
        </w:rPr>
        <w:t>Growth Development Paths of Firms - A Study of Smaller Businesses.</w:t>
      </w:r>
      <w:proofErr w:type="gramEnd"/>
      <w:r w:rsidRPr="0009669D">
        <w:rPr>
          <w:rFonts w:eastAsia="Calibri" w:cs="Times New Roman"/>
          <w:lang w:val="en-GB"/>
        </w:rPr>
        <w:t xml:space="preserve"> Journal of Small Business Management, 53(2), 539-557.</w:t>
      </w:r>
    </w:p>
    <w:p w14:paraId="0E3F88B0" w14:textId="77777777" w:rsidR="00415057" w:rsidRPr="0009669D" w:rsidRDefault="00415057" w:rsidP="0070319D">
      <w:pPr>
        <w:spacing w:before="240" w:after="0"/>
        <w:ind w:left="708" w:hanging="708"/>
        <w:rPr>
          <w:rFonts w:eastAsia="Calibri" w:cs="Times New Roman"/>
          <w:lang w:val="en-GB"/>
        </w:rPr>
      </w:pPr>
      <w:r w:rsidRPr="0009669D">
        <w:rPr>
          <w:rFonts w:eastAsia="Calibri" w:cs="Times New Roman"/>
          <w:lang w:val="en-GB"/>
        </w:rPr>
        <w:t xml:space="preserve">Calvo, J. L. (2004). Testing </w:t>
      </w:r>
      <w:proofErr w:type="spellStart"/>
      <w:r w:rsidRPr="0009669D">
        <w:rPr>
          <w:rFonts w:eastAsia="Calibri" w:cs="Times New Roman"/>
          <w:lang w:val="en-GB"/>
        </w:rPr>
        <w:t>Gibrats</w:t>
      </w:r>
      <w:proofErr w:type="spellEnd"/>
      <w:r w:rsidRPr="0009669D">
        <w:rPr>
          <w:rFonts w:eastAsia="Calibri" w:cs="Times New Roman"/>
          <w:lang w:val="en-GB"/>
        </w:rPr>
        <w:t xml:space="preserve"> Law Across Regions. </w:t>
      </w:r>
      <w:proofErr w:type="spellStart"/>
      <w:proofErr w:type="gramStart"/>
      <w:r w:rsidRPr="0009669D">
        <w:rPr>
          <w:rFonts w:eastAsia="Calibri" w:cs="Times New Roman"/>
          <w:lang w:val="en-GB"/>
        </w:rPr>
        <w:t>Evidende</w:t>
      </w:r>
      <w:proofErr w:type="spellEnd"/>
      <w:r w:rsidRPr="0009669D">
        <w:rPr>
          <w:rFonts w:eastAsia="Calibri" w:cs="Times New Roman"/>
          <w:lang w:val="en-GB"/>
        </w:rPr>
        <w:t xml:space="preserve"> from Spain.</w:t>
      </w:r>
      <w:proofErr w:type="gramEnd"/>
      <w:r w:rsidRPr="0009669D">
        <w:rPr>
          <w:rFonts w:eastAsia="Calibri" w:cs="Times New Roman"/>
          <w:lang w:val="en-GB"/>
        </w:rPr>
        <w:t xml:space="preserve"> In </w:t>
      </w:r>
      <w:r w:rsidRPr="0009669D">
        <w:rPr>
          <w:rFonts w:eastAsia="Calibri" w:cs="Times New Roman"/>
          <w:i/>
          <w:iCs/>
          <w:lang w:val="en-GB"/>
        </w:rPr>
        <w:t>44th ERSA Conference, Porto, Portugal</w:t>
      </w:r>
      <w:r w:rsidRPr="0009669D">
        <w:rPr>
          <w:rFonts w:eastAsia="Calibri" w:cs="Times New Roman"/>
          <w:lang w:val="en-GB"/>
        </w:rPr>
        <w:t>.</w:t>
      </w:r>
    </w:p>
    <w:p w14:paraId="366B6E9A" w14:textId="77777777" w:rsidR="00415057" w:rsidRPr="0009669D" w:rsidRDefault="00415057" w:rsidP="0070319D">
      <w:pPr>
        <w:spacing w:before="240" w:after="0"/>
        <w:ind w:left="708" w:hanging="708"/>
        <w:rPr>
          <w:rFonts w:eastAsia="Calibri" w:cs="Times New Roman"/>
          <w:lang w:val="en-GB"/>
        </w:rPr>
      </w:pPr>
      <w:r w:rsidRPr="0009669D">
        <w:rPr>
          <w:rFonts w:eastAsia="Calibri" w:cs="Times New Roman"/>
          <w:lang w:val="en-GB"/>
        </w:rPr>
        <w:t xml:space="preserve">Canay, I. (2011). </w:t>
      </w:r>
      <w:proofErr w:type="gramStart"/>
      <w:r w:rsidRPr="0009669D">
        <w:rPr>
          <w:rFonts w:eastAsia="Calibri" w:cs="Times New Roman"/>
          <w:lang w:val="en-GB"/>
        </w:rPr>
        <w:t>A simple approach to quantile regression for panel data.</w:t>
      </w:r>
      <w:proofErr w:type="gramEnd"/>
      <w:r w:rsidRPr="0009669D">
        <w:rPr>
          <w:rFonts w:eastAsia="Calibri" w:cs="Times New Roman"/>
          <w:lang w:val="en-GB"/>
        </w:rPr>
        <w:t xml:space="preserve"> Econometrics Journal, 14, 368-386.</w:t>
      </w:r>
    </w:p>
    <w:p w14:paraId="527ED94B" w14:textId="77777777" w:rsidR="00415057" w:rsidRPr="0009669D" w:rsidRDefault="00415057" w:rsidP="0070319D">
      <w:pPr>
        <w:spacing w:before="240" w:after="0"/>
        <w:ind w:left="708" w:hanging="708"/>
        <w:rPr>
          <w:rFonts w:eastAsia="Calibri" w:cs="Times New Roman"/>
          <w:lang w:val="en-GB"/>
        </w:rPr>
      </w:pPr>
      <w:proofErr w:type="spellStart"/>
      <w:r w:rsidRPr="0009669D">
        <w:rPr>
          <w:rFonts w:eastAsia="Calibri" w:cs="Times New Roman"/>
          <w:lang w:val="en-GB"/>
        </w:rPr>
        <w:t>Carrizosa</w:t>
      </w:r>
      <w:proofErr w:type="spellEnd"/>
      <w:r w:rsidRPr="0009669D">
        <w:rPr>
          <w:rFonts w:eastAsia="Calibri" w:cs="Times New Roman"/>
          <w:lang w:val="en-GB"/>
        </w:rPr>
        <w:t xml:space="preserve">, M. (2010). </w:t>
      </w:r>
      <w:proofErr w:type="gramStart"/>
      <w:r w:rsidRPr="0009669D">
        <w:rPr>
          <w:rFonts w:eastAsia="Calibri" w:cs="Times New Roman"/>
          <w:lang w:val="en-GB"/>
        </w:rPr>
        <w:t>Gibrat’s law and the learning process.</w:t>
      </w:r>
      <w:proofErr w:type="gramEnd"/>
      <w:r w:rsidRPr="0009669D">
        <w:rPr>
          <w:rFonts w:eastAsia="Calibri" w:cs="Times New Roman"/>
          <w:lang w:val="en-GB"/>
        </w:rPr>
        <w:t xml:space="preserve"> Small Business Economics, 34(4), 355-373.</w:t>
      </w:r>
    </w:p>
    <w:p w14:paraId="6762F9CB" w14:textId="77777777" w:rsidR="00415057" w:rsidRPr="00CB7626" w:rsidRDefault="00415057" w:rsidP="0070319D">
      <w:pPr>
        <w:spacing w:before="240" w:after="0"/>
        <w:ind w:left="708" w:hanging="708"/>
        <w:rPr>
          <w:rFonts w:eastAsia="Calibri" w:cs="Times New Roman"/>
          <w:lang w:val="es-ES"/>
        </w:rPr>
      </w:pPr>
      <w:proofErr w:type="spellStart"/>
      <w:r w:rsidRPr="0009669D">
        <w:rPr>
          <w:rFonts w:eastAsia="Calibri" w:cs="Times New Roman"/>
          <w:lang w:val="en-GB"/>
        </w:rPr>
        <w:t>Carrizosa</w:t>
      </w:r>
      <w:proofErr w:type="spellEnd"/>
      <w:r w:rsidRPr="0009669D">
        <w:rPr>
          <w:rFonts w:eastAsia="Calibri" w:cs="Times New Roman"/>
          <w:lang w:val="en-GB"/>
        </w:rPr>
        <w:t xml:space="preserve">, M. (2007). Firm growth, persistence and multiplicity of equilibria: an analysis of Spanish manufacturing and service industries. </w:t>
      </w:r>
      <w:r w:rsidRPr="00CB7626">
        <w:rPr>
          <w:rFonts w:eastAsia="Calibri" w:cs="Times New Roman"/>
          <w:lang w:val="es-ES"/>
        </w:rPr>
        <w:t xml:space="preserve">(Doctoral </w:t>
      </w:r>
      <w:proofErr w:type="spellStart"/>
      <w:r w:rsidRPr="00CB7626">
        <w:rPr>
          <w:rFonts w:eastAsia="Calibri" w:cs="Times New Roman"/>
          <w:lang w:val="es-ES"/>
        </w:rPr>
        <w:t>dissertation</w:t>
      </w:r>
      <w:proofErr w:type="spellEnd"/>
      <w:r w:rsidRPr="00CB7626">
        <w:rPr>
          <w:rFonts w:eastAsia="Calibri" w:cs="Times New Roman"/>
          <w:lang w:val="es-ES"/>
        </w:rPr>
        <w:t xml:space="preserve">, </w:t>
      </w:r>
      <w:proofErr w:type="spellStart"/>
      <w:r w:rsidRPr="00CB7626">
        <w:rPr>
          <w:rFonts w:eastAsia="Calibri" w:cs="Times New Roman"/>
          <w:lang w:val="es-ES"/>
        </w:rPr>
        <w:t>Universitat</w:t>
      </w:r>
      <w:proofErr w:type="spellEnd"/>
      <w:r w:rsidRPr="00CB7626">
        <w:rPr>
          <w:rFonts w:eastAsia="Calibri" w:cs="Times New Roman"/>
          <w:lang w:val="es-ES"/>
        </w:rPr>
        <w:t xml:space="preserve"> Rovira i </w:t>
      </w:r>
      <w:proofErr w:type="spellStart"/>
      <w:r w:rsidRPr="00CB7626">
        <w:rPr>
          <w:rFonts w:eastAsia="Calibri" w:cs="Times New Roman"/>
          <w:lang w:val="es-ES"/>
        </w:rPr>
        <w:t>Virgili</w:t>
      </w:r>
      <w:proofErr w:type="spellEnd"/>
      <w:r w:rsidRPr="00CB7626">
        <w:rPr>
          <w:rFonts w:eastAsia="Calibri" w:cs="Times New Roman"/>
          <w:lang w:val="es-ES"/>
        </w:rPr>
        <w:t xml:space="preserve">). </w:t>
      </w:r>
    </w:p>
    <w:p w14:paraId="718BDA23" w14:textId="77777777" w:rsidR="00415057" w:rsidRPr="001461CC" w:rsidRDefault="00415057" w:rsidP="0070319D">
      <w:pPr>
        <w:spacing w:before="240" w:after="0"/>
        <w:ind w:left="708" w:hanging="708"/>
        <w:rPr>
          <w:rFonts w:eastAsia="Calibri" w:cs="Times New Roman"/>
          <w:lang w:val="es-ES"/>
        </w:rPr>
      </w:pPr>
      <w:r w:rsidRPr="001461CC">
        <w:rPr>
          <w:rFonts w:eastAsia="Calibri" w:cs="Times New Roman"/>
          <w:lang w:val="es-ES"/>
        </w:rPr>
        <w:t>Chávez, M. (2013). La influencia del Liderazgo en el Clima Organizacional, análisis de la PYME ecuatoriana (</w:t>
      </w:r>
      <w:proofErr w:type="spellStart"/>
      <w:r w:rsidRPr="001461CC">
        <w:rPr>
          <w:rFonts w:eastAsia="Calibri" w:cs="Times New Roman"/>
          <w:lang w:val="es-ES"/>
        </w:rPr>
        <w:t>Master's</w:t>
      </w:r>
      <w:proofErr w:type="spellEnd"/>
      <w:r w:rsidRPr="001461CC">
        <w:rPr>
          <w:rFonts w:eastAsia="Calibri" w:cs="Times New Roman"/>
          <w:lang w:val="es-ES"/>
        </w:rPr>
        <w:t xml:space="preserve"> </w:t>
      </w:r>
      <w:proofErr w:type="spellStart"/>
      <w:r w:rsidRPr="001461CC">
        <w:rPr>
          <w:rFonts w:eastAsia="Calibri" w:cs="Times New Roman"/>
          <w:lang w:val="es-ES"/>
        </w:rPr>
        <w:t>thesis</w:t>
      </w:r>
      <w:proofErr w:type="spellEnd"/>
      <w:r w:rsidRPr="001461CC">
        <w:rPr>
          <w:rFonts w:eastAsia="Calibri" w:cs="Times New Roman"/>
          <w:lang w:val="es-ES"/>
        </w:rPr>
        <w:t>, Universidad Andina Simón Bolívar, Sede Ecuador).</w:t>
      </w:r>
    </w:p>
    <w:p w14:paraId="1D3C5D23" w14:textId="77777777" w:rsidR="00415057" w:rsidRPr="0009669D" w:rsidRDefault="00415057" w:rsidP="0070319D">
      <w:pPr>
        <w:spacing w:before="240" w:after="0"/>
        <w:ind w:left="708" w:hanging="708"/>
        <w:rPr>
          <w:rFonts w:eastAsia="Calibri" w:cs="Times New Roman"/>
          <w:lang w:val="en-GB"/>
        </w:rPr>
      </w:pPr>
      <w:r w:rsidRPr="0009669D">
        <w:rPr>
          <w:rFonts w:eastAsia="Calibri" w:cs="Times New Roman"/>
          <w:lang w:val="en-GB"/>
        </w:rPr>
        <w:t>Choi, B. P. (2010). The US property and liability insurance industry: firm growth, size, and age. Risk Management and Insurance Review, 13(2), 207-224.</w:t>
      </w:r>
    </w:p>
    <w:p w14:paraId="2FCDDB43" w14:textId="77777777" w:rsidR="00415057" w:rsidRPr="0009669D" w:rsidRDefault="00415057" w:rsidP="0070319D">
      <w:pPr>
        <w:spacing w:before="240" w:after="0"/>
        <w:ind w:left="708" w:hanging="708"/>
        <w:rPr>
          <w:rFonts w:eastAsia="Calibri" w:cs="Times New Roman"/>
          <w:lang w:val="en-GB"/>
        </w:rPr>
      </w:pPr>
      <w:proofErr w:type="gramStart"/>
      <w:r w:rsidRPr="0009669D">
        <w:rPr>
          <w:rFonts w:eastAsia="Calibri" w:cs="Times New Roman"/>
          <w:lang w:val="en-GB"/>
        </w:rPr>
        <w:t>Coad, A. (2008).</w:t>
      </w:r>
      <w:proofErr w:type="gramEnd"/>
      <w:r w:rsidRPr="0009669D">
        <w:rPr>
          <w:rFonts w:eastAsia="Calibri" w:cs="Times New Roman"/>
          <w:lang w:val="en-GB"/>
        </w:rPr>
        <w:t xml:space="preserve"> Firm growth and scaling of growth rate variance in </w:t>
      </w:r>
      <w:proofErr w:type="spellStart"/>
      <w:r w:rsidRPr="0009669D">
        <w:rPr>
          <w:rFonts w:eastAsia="Calibri" w:cs="Times New Roman"/>
          <w:lang w:val="en-GB"/>
        </w:rPr>
        <w:t>multiplant</w:t>
      </w:r>
      <w:proofErr w:type="spellEnd"/>
      <w:r w:rsidRPr="0009669D">
        <w:rPr>
          <w:rFonts w:eastAsia="Calibri" w:cs="Times New Roman"/>
          <w:lang w:val="en-GB"/>
        </w:rPr>
        <w:t xml:space="preserve"> firms. Economics Bulletin, 12(9), 1-15.</w:t>
      </w:r>
    </w:p>
    <w:p w14:paraId="07616120" w14:textId="77777777" w:rsidR="00415057" w:rsidRPr="0009669D" w:rsidRDefault="00415057" w:rsidP="0070319D">
      <w:pPr>
        <w:spacing w:before="240" w:after="0"/>
        <w:ind w:left="708" w:hanging="708"/>
        <w:rPr>
          <w:rFonts w:eastAsia="Calibri" w:cs="Times New Roman"/>
          <w:lang w:val="en-GB"/>
        </w:rPr>
      </w:pPr>
      <w:proofErr w:type="gramStart"/>
      <w:r w:rsidRPr="0009669D">
        <w:rPr>
          <w:rFonts w:eastAsia="Calibri" w:cs="Times New Roman"/>
          <w:lang w:val="en-GB"/>
        </w:rPr>
        <w:t>Coad, A., &amp; Rao, R. (2008).</w:t>
      </w:r>
      <w:proofErr w:type="gramEnd"/>
      <w:r w:rsidRPr="0009669D">
        <w:rPr>
          <w:rFonts w:eastAsia="Calibri" w:cs="Times New Roman"/>
          <w:lang w:val="en-GB"/>
        </w:rPr>
        <w:t xml:space="preserve"> Innovation and firm growth in high-tech sectors: A quantile regression approach. Research Policy, 37, 633-648.</w:t>
      </w:r>
    </w:p>
    <w:p w14:paraId="3DD7BC8D" w14:textId="77777777" w:rsidR="00415057" w:rsidRPr="0009669D" w:rsidRDefault="00415057" w:rsidP="0070319D">
      <w:pPr>
        <w:spacing w:before="240" w:after="0"/>
        <w:ind w:left="708" w:hanging="708"/>
        <w:rPr>
          <w:rFonts w:eastAsia="Calibri" w:cs="Times New Roman"/>
          <w:lang w:val="en-GB"/>
        </w:rPr>
      </w:pPr>
      <w:proofErr w:type="spellStart"/>
      <w:r w:rsidRPr="001461CC">
        <w:rPr>
          <w:rFonts w:eastAsia="Calibri" w:cs="Times New Roman"/>
          <w:lang w:val="es-ES"/>
        </w:rPr>
        <w:t>Coad</w:t>
      </w:r>
      <w:proofErr w:type="spellEnd"/>
      <w:r w:rsidRPr="001461CC">
        <w:rPr>
          <w:rFonts w:eastAsia="Calibri" w:cs="Times New Roman"/>
          <w:lang w:val="es-ES"/>
        </w:rPr>
        <w:t xml:space="preserve">, A., </w:t>
      </w:r>
      <w:proofErr w:type="spellStart"/>
      <w:r w:rsidRPr="001461CC">
        <w:rPr>
          <w:rFonts w:eastAsia="Calibri" w:cs="Times New Roman"/>
          <w:lang w:val="es-ES"/>
        </w:rPr>
        <w:t>Segarra</w:t>
      </w:r>
      <w:proofErr w:type="spellEnd"/>
      <w:r w:rsidRPr="001461CC">
        <w:rPr>
          <w:rFonts w:eastAsia="Calibri" w:cs="Times New Roman"/>
          <w:lang w:val="es-ES"/>
        </w:rPr>
        <w:t xml:space="preserve">, A., &amp; Teruel, M. (2016). </w:t>
      </w:r>
      <w:r w:rsidRPr="0009669D">
        <w:rPr>
          <w:rFonts w:eastAsia="Calibri" w:cs="Times New Roman"/>
          <w:lang w:val="en-GB"/>
        </w:rPr>
        <w:t>Innovation and firm growth: Does firm age play a role</w:t>
      </w:r>
      <w:proofErr w:type="gramStart"/>
      <w:r w:rsidRPr="0009669D">
        <w:rPr>
          <w:rFonts w:eastAsia="Calibri" w:cs="Times New Roman"/>
          <w:lang w:val="en-GB"/>
        </w:rPr>
        <w:t>?.</w:t>
      </w:r>
      <w:proofErr w:type="gramEnd"/>
      <w:r w:rsidRPr="0009669D">
        <w:rPr>
          <w:rFonts w:eastAsia="Calibri" w:cs="Times New Roman"/>
          <w:lang w:val="en-GB"/>
        </w:rPr>
        <w:t xml:space="preserve"> Research Policy, 45(2), 387-400.</w:t>
      </w:r>
    </w:p>
    <w:p w14:paraId="18694258" w14:textId="77777777" w:rsidR="00415057" w:rsidRPr="0009669D" w:rsidRDefault="00415057" w:rsidP="0070319D">
      <w:pPr>
        <w:spacing w:before="240" w:after="0"/>
        <w:ind w:left="708" w:hanging="708"/>
        <w:rPr>
          <w:rFonts w:eastAsia="Calibri" w:cs="Times New Roman"/>
          <w:lang w:val="en-GB"/>
        </w:rPr>
      </w:pPr>
      <w:proofErr w:type="spellStart"/>
      <w:proofErr w:type="gramStart"/>
      <w:r w:rsidRPr="0009669D">
        <w:rPr>
          <w:rFonts w:eastAsia="Calibri" w:cs="Times New Roman"/>
          <w:lang w:val="en-GB"/>
        </w:rPr>
        <w:lastRenderedPageBreak/>
        <w:t>Daunfeldt</w:t>
      </w:r>
      <w:proofErr w:type="spellEnd"/>
      <w:r w:rsidRPr="0009669D">
        <w:rPr>
          <w:rFonts w:eastAsia="Calibri" w:cs="Times New Roman"/>
          <w:lang w:val="en-GB"/>
        </w:rPr>
        <w:t xml:space="preserve">, S. O., &amp; </w:t>
      </w:r>
      <w:proofErr w:type="spellStart"/>
      <w:r w:rsidRPr="0009669D">
        <w:rPr>
          <w:rFonts w:eastAsia="Calibri" w:cs="Times New Roman"/>
          <w:lang w:val="en-GB"/>
        </w:rPr>
        <w:t>Elert</w:t>
      </w:r>
      <w:proofErr w:type="spellEnd"/>
      <w:r w:rsidRPr="0009669D">
        <w:rPr>
          <w:rFonts w:eastAsia="Calibri" w:cs="Times New Roman"/>
          <w:lang w:val="en-GB"/>
        </w:rPr>
        <w:t>, N. (2013).</w:t>
      </w:r>
      <w:proofErr w:type="gramEnd"/>
      <w:r w:rsidRPr="0009669D">
        <w:rPr>
          <w:rFonts w:eastAsia="Calibri" w:cs="Times New Roman"/>
          <w:lang w:val="en-GB"/>
        </w:rPr>
        <w:t xml:space="preserve"> When is Gibrat's law a law</w:t>
      </w:r>
      <w:proofErr w:type="gramStart"/>
      <w:r w:rsidRPr="0009669D">
        <w:rPr>
          <w:rFonts w:eastAsia="Calibri" w:cs="Times New Roman"/>
          <w:lang w:val="en-GB"/>
        </w:rPr>
        <w:t>?.</w:t>
      </w:r>
      <w:proofErr w:type="gramEnd"/>
      <w:r w:rsidRPr="0009669D">
        <w:rPr>
          <w:rFonts w:eastAsia="Calibri" w:cs="Times New Roman"/>
          <w:lang w:val="en-GB"/>
        </w:rPr>
        <w:t xml:space="preserve"> Small Business Economics, 41(1), 133-147.</w:t>
      </w:r>
    </w:p>
    <w:p w14:paraId="1922EAA2" w14:textId="77777777" w:rsidR="00415057" w:rsidRPr="0009669D" w:rsidRDefault="00415057" w:rsidP="0070319D">
      <w:pPr>
        <w:spacing w:before="240" w:after="0"/>
        <w:ind w:left="708" w:hanging="708"/>
        <w:rPr>
          <w:rFonts w:eastAsia="Calibri" w:cs="Times New Roman"/>
          <w:lang w:val="en-GB"/>
        </w:rPr>
      </w:pPr>
      <w:proofErr w:type="spellStart"/>
      <w:proofErr w:type="gramStart"/>
      <w:r w:rsidRPr="0009669D">
        <w:rPr>
          <w:rFonts w:eastAsia="Calibri" w:cs="Times New Roman"/>
          <w:lang w:val="en-GB"/>
        </w:rPr>
        <w:t>Daunfeldt</w:t>
      </w:r>
      <w:proofErr w:type="spellEnd"/>
      <w:r w:rsidRPr="0009669D">
        <w:rPr>
          <w:rFonts w:eastAsia="Calibri" w:cs="Times New Roman"/>
          <w:lang w:val="en-GB"/>
        </w:rPr>
        <w:t xml:space="preserve">, S. O., </w:t>
      </w:r>
      <w:proofErr w:type="spellStart"/>
      <w:r w:rsidRPr="0009669D">
        <w:rPr>
          <w:rFonts w:eastAsia="Calibri" w:cs="Times New Roman"/>
          <w:lang w:val="en-GB"/>
        </w:rPr>
        <w:t>Elert</w:t>
      </w:r>
      <w:proofErr w:type="spellEnd"/>
      <w:r w:rsidRPr="0009669D">
        <w:rPr>
          <w:rFonts w:eastAsia="Calibri" w:cs="Times New Roman"/>
          <w:lang w:val="en-GB"/>
        </w:rPr>
        <w:t>, N., &amp; Lang, Å. (2012).</w:t>
      </w:r>
      <w:proofErr w:type="gramEnd"/>
      <w:r w:rsidRPr="0009669D">
        <w:rPr>
          <w:rFonts w:eastAsia="Calibri" w:cs="Times New Roman"/>
          <w:lang w:val="en-GB"/>
        </w:rPr>
        <w:t xml:space="preserve"> Does Gibrat's law hold for retailing? </w:t>
      </w:r>
      <w:proofErr w:type="gramStart"/>
      <w:r w:rsidRPr="0009669D">
        <w:rPr>
          <w:rFonts w:eastAsia="Calibri" w:cs="Times New Roman"/>
          <w:lang w:val="en-GB"/>
        </w:rPr>
        <w:t>Evidence from Sweden.</w:t>
      </w:r>
      <w:proofErr w:type="gramEnd"/>
      <w:r w:rsidRPr="0009669D">
        <w:rPr>
          <w:rFonts w:eastAsia="Calibri" w:cs="Times New Roman"/>
          <w:lang w:val="en-GB"/>
        </w:rPr>
        <w:t xml:space="preserve"> Journal of Retailing and Consumer Services, 19(5), 464-469.</w:t>
      </w:r>
    </w:p>
    <w:p w14:paraId="6B901952" w14:textId="77777777" w:rsidR="00415057" w:rsidRPr="001461CC" w:rsidRDefault="00415057" w:rsidP="0070319D">
      <w:pPr>
        <w:spacing w:before="240" w:after="0"/>
        <w:ind w:left="708" w:hanging="708"/>
        <w:rPr>
          <w:rFonts w:eastAsia="Calibri" w:cs="Times New Roman"/>
          <w:lang w:val="es-ES"/>
        </w:rPr>
      </w:pPr>
      <w:proofErr w:type="spellStart"/>
      <w:r w:rsidRPr="0009669D">
        <w:rPr>
          <w:rFonts w:eastAsia="Calibri" w:cs="Times New Roman"/>
          <w:lang w:val="en-GB"/>
        </w:rPr>
        <w:t>Daza</w:t>
      </w:r>
      <w:proofErr w:type="spellEnd"/>
      <w:r w:rsidRPr="0009669D">
        <w:rPr>
          <w:rFonts w:eastAsia="Calibri" w:cs="Times New Roman"/>
          <w:lang w:val="en-GB"/>
        </w:rPr>
        <w:t xml:space="preserve">, J. (2015). </w:t>
      </w:r>
      <w:r w:rsidRPr="001461CC">
        <w:rPr>
          <w:rFonts w:eastAsia="Calibri" w:cs="Times New Roman"/>
          <w:lang w:val="es-ES"/>
        </w:rPr>
        <w:t xml:space="preserve">La ley de Gibrat en las economías emergentes: el caso de Brasil (Doctoral </w:t>
      </w:r>
      <w:proofErr w:type="spellStart"/>
      <w:r w:rsidRPr="001461CC">
        <w:rPr>
          <w:rFonts w:eastAsia="Calibri" w:cs="Times New Roman"/>
          <w:lang w:val="es-ES"/>
        </w:rPr>
        <w:t>dissertation</w:t>
      </w:r>
      <w:proofErr w:type="spellEnd"/>
      <w:r w:rsidRPr="001461CC">
        <w:rPr>
          <w:rFonts w:eastAsia="Calibri" w:cs="Times New Roman"/>
          <w:lang w:val="es-ES"/>
        </w:rPr>
        <w:t>, Universidad de Extremadura).</w:t>
      </w:r>
    </w:p>
    <w:p w14:paraId="12286224" w14:textId="77777777" w:rsidR="00415057" w:rsidRPr="0009669D" w:rsidRDefault="00415057" w:rsidP="0070319D">
      <w:pPr>
        <w:spacing w:before="240" w:after="0"/>
        <w:ind w:left="708" w:hanging="708"/>
        <w:rPr>
          <w:rFonts w:eastAsia="Calibri" w:cs="Times New Roman"/>
          <w:lang w:val="en-GB"/>
        </w:rPr>
      </w:pPr>
      <w:proofErr w:type="gramStart"/>
      <w:r w:rsidRPr="0009669D">
        <w:rPr>
          <w:rFonts w:eastAsia="Calibri" w:cs="Times New Roman"/>
          <w:lang w:val="en-GB"/>
        </w:rPr>
        <w:t xml:space="preserve">Delmar, F., </w:t>
      </w:r>
      <w:proofErr w:type="spellStart"/>
      <w:r w:rsidRPr="0009669D">
        <w:rPr>
          <w:rFonts w:eastAsia="Calibri" w:cs="Times New Roman"/>
          <w:lang w:val="en-GB"/>
        </w:rPr>
        <w:t>McKelvie</w:t>
      </w:r>
      <w:proofErr w:type="spellEnd"/>
      <w:r w:rsidRPr="0009669D">
        <w:rPr>
          <w:rFonts w:eastAsia="Calibri" w:cs="Times New Roman"/>
          <w:lang w:val="en-GB"/>
        </w:rPr>
        <w:t xml:space="preserve">, A., &amp; </w:t>
      </w:r>
      <w:proofErr w:type="spellStart"/>
      <w:r w:rsidRPr="0009669D">
        <w:rPr>
          <w:rFonts w:eastAsia="Calibri" w:cs="Times New Roman"/>
          <w:lang w:val="en-GB"/>
        </w:rPr>
        <w:t>Wennberg</w:t>
      </w:r>
      <w:proofErr w:type="spellEnd"/>
      <w:r w:rsidRPr="0009669D">
        <w:rPr>
          <w:rFonts w:eastAsia="Calibri" w:cs="Times New Roman"/>
          <w:lang w:val="en-GB"/>
        </w:rPr>
        <w:t>, K. (2013).</w:t>
      </w:r>
      <w:proofErr w:type="gramEnd"/>
      <w:r w:rsidRPr="0009669D">
        <w:rPr>
          <w:rFonts w:eastAsia="Calibri" w:cs="Times New Roman"/>
          <w:lang w:val="en-GB"/>
        </w:rPr>
        <w:t xml:space="preserve"> Untangling the relationships among growth, profitability and survival in new firms. </w:t>
      </w:r>
      <w:proofErr w:type="spellStart"/>
      <w:r w:rsidRPr="0009669D">
        <w:rPr>
          <w:rFonts w:eastAsia="Calibri" w:cs="Times New Roman"/>
          <w:lang w:val="en-GB"/>
        </w:rPr>
        <w:t>Technovation</w:t>
      </w:r>
      <w:proofErr w:type="spellEnd"/>
      <w:r w:rsidRPr="0009669D">
        <w:rPr>
          <w:rFonts w:eastAsia="Calibri" w:cs="Times New Roman"/>
          <w:lang w:val="en-GB"/>
        </w:rPr>
        <w:t>, 33(8-9), 276-291.</w:t>
      </w:r>
    </w:p>
    <w:p w14:paraId="3249C297" w14:textId="77777777" w:rsidR="00415057" w:rsidRPr="00CB7626" w:rsidRDefault="00415057" w:rsidP="0070319D">
      <w:pPr>
        <w:spacing w:before="240" w:after="0"/>
        <w:ind w:left="708" w:hanging="708"/>
        <w:rPr>
          <w:rFonts w:eastAsia="Calibri" w:cs="Times New Roman"/>
          <w:lang w:val="es-ES"/>
        </w:rPr>
      </w:pPr>
      <w:proofErr w:type="spellStart"/>
      <w:r w:rsidRPr="0009669D">
        <w:rPr>
          <w:rFonts w:eastAsia="Calibri" w:cs="Times New Roman"/>
          <w:lang w:val="en-GB"/>
        </w:rPr>
        <w:t>Demirel</w:t>
      </w:r>
      <w:proofErr w:type="spellEnd"/>
      <w:r w:rsidRPr="0009669D">
        <w:rPr>
          <w:rFonts w:eastAsia="Calibri" w:cs="Times New Roman"/>
          <w:lang w:val="en-GB"/>
        </w:rPr>
        <w:t xml:space="preserve">, P., &amp; </w:t>
      </w:r>
      <w:proofErr w:type="spellStart"/>
      <w:r w:rsidRPr="0009669D">
        <w:rPr>
          <w:rFonts w:eastAsia="Calibri" w:cs="Times New Roman"/>
          <w:lang w:val="en-GB"/>
        </w:rPr>
        <w:t>Mazzucato</w:t>
      </w:r>
      <w:proofErr w:type="spellEnd"/>
      <w:r w:rsidRPr="0009669D">
        <w:rPr>
          <w:rFonts w:eastAsia="Calibri" w:cs="Times New Roman"/>
          <w:lang w:val="en-GB"/>
        </w:rPr>
        <w:t xml:space="preserve">, M. (2010). </w:t>
      </w:r>
      <w:proofErr w:type="gramStart"/>
      <w:r w:rsidRPr="0009669D">
        <w:rPr>
          <w:rFonts w:eastAsia="Calibri" w:cs="Times New Roman"/>
          <w:lang w:val="en-GB"/>
        </w:rPr>
        <w:t>The evolution of firm growth dynamics in the US pharmaceutical industry.</w:t>
      </w:r>
      <w:proofErr w:type="gramEnd"/>
      <w:r w:rsidRPr="0009669D">
        <w:rPr>
          <w:rFonts w:eastAsia="Calibri" w:cs="Times New Roman"/>
          <w:lang w:val="en-GB"/>
        </w:rPr>
        <w:t xml:space="preserve"> </w:t>
      </w:r>
      <w:r w:rsidRPr="00CB7626">
        <w:rPr>
          <w:rFonts w:eastAsia="Calibri" w:cs="Times New Roman"/>
          <w:lang w:val="es-ES"/>
        </w:rPr>
        <w:t xml:space="preserve">Regional </w:t>
      </w:r>
      <w:proofErr w:type="spellStart"/>
      <w:r w:rsidRPr="00CB7626">
        <w:rPr>
          <w:rFonts w:eastAsia="Calibri" w:cs="Times New Roman"/>
          <w:lang w:val="es-ES"/>
        </w:rPr>
        <w:t>Studies</w:t>
      </w:r>
      <w:proofErr w:type="spellEnd"/>
      <w:r w:rsidRPr="00CB7626">
        <w:rPr>
          <w:rFonts w:eastAsia="Calibri" w:cs="Times New Roman"/>
          <w:lang w:val="es-ES"/>
        </w:rPr>
        <w:t>, 44(8), 1053-1066.</w:t>
      </w:r>
    </w:p>
    <w:p w14:paraId="52BAE795"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es-ES"/>
        </w:rPr>
        <w:t xml:space="preserve">Dini, M., &amp; </w:t>
      </w:r>
      <w:proofErr w:type="spellStart"/>
      <w:r w:rsidRPr="001461CC">
        <w:rPr>
          <w:rFonts w:eastAsia="Calibri" w:cs="Times New Roman"/>
          <w:lang w:val="es-ES"/>
        </w:rPr>
        <w:t>Stumpo</w:t>
      </w:r>
      <w:proofErr w:type="spellEnd"/>
      <w:r w:rsidRPr="001461CC">
        <w:rPr>
          <w:rFonts w:eastAsia="Calibri" w:cs="Times New Roman"/>
          <w:lang w:val="es-ES"/>
        </w:rPr>
        <w:t xml:space="preserve">, G. (2004). Pequeñas y </w:t>
      </w:r>
      <w:proofErr w:type="spellStart"/>
      <w:r w:rsidRPr="001461CC">
        <w:rPr>
          <w:rFonts w:eastAsia="Calibri" w:cs="Times New Roman"/>
          <w:lang w:val="es-ES"/>
        </w:rPr>
        <w:t>medaianas</w:t>
      </w:r>
      <w:proofErr w:type="spellEnd"/>
      <w:r w:rsidRPr="001461CC">
        <w:rPr>
          <w:rFonts w:eastAsia="Calibri" w:cs="Times New Roman"/>
          <w:lang w:val="es-ES"/>
        </w:rPr>
        <w:t xml:space="preserve"> empresas y eficiencia colectiva. </w:t>
      </w:r>
      <w:r w:rsidRPr="0009669D">
        <w:rPr>
          <w:rFonts w:eastAsia="Calibri" w:cs="Times New Roman"/>
          <w:lang w:val="en-GB"/>
        </w:rPr>
        <w:t xml:space="preserve">México: </w:t>
      </w:r>
      <w:proofErr w:type="spellStart"/>
      <w:r w:rsidRPr="0009669D">
        <w:rPr>
          <w:rFonts w:eastAsia="Calibri" w:cs="Times New Roman"/>
          <w:lang w:val="en-GB"/>
        </w:rPr>
        <w:t>Siglo</w:t>
      </w:r>
      <w:proofErr w:type="spellEnd"/>
      <w:r w:rsidRPr="0009669D">
        <w:rPr>
          <w:rFonts w:eastAsia="Calibri" w:cs="Times New Roman"/>
          <w:lang w:val="en-GB"/>
        </w:rPr>
        <w:t xml:space="preserve"> XXI.</w:t>
      </w:r>
    </w:p>
    <w:p w14:paraId="675318F7" w14:textId="77777777" w:rsidR="00415057" w:rsidRPr="0009669D" w:rsidRDefault="00415057" w:rsidP="0070319D">
      <w:pPr>
        <w:spacing w:before="240" w:after="0"/>
        <w:ind w:left="708" w:hanging="708"/>
        <w:rPr>
          <w:rFonts w:eastAsia="Calibri" w:cs="Times New Roman"/>
          <w:lang w:val="en-GB"/>
        </w:rPr>
      </w:pPr>
      <w:proofErr w:type="spellStart"/>
      <w:proofErr w:type="gramStart"/>
      <w:r w:rsidRPr="0009669D">
        <w:rPr>
          <w:rFonts w:eastAsia="Calibri" w:cs="Times New Roman"/>
          <w:lang w:val="en-GB"/>
        </w:rPr>
        <w:t>Doms</w:t>
      </w:r>
      <w:proofErr w:type="spellEnd"/>
      <w:r w:rsidRPr="0009669D">
        <w:rPr>
          <w:rFonts w:eastAsia="Calibri" w:cs="Times New Roman"/>
          <w:lang w:val="en-GB"/>
        </w:rPr>
        <w:t>, M., Dunne, T., &amp; Roberts, M. (1995).</w:t>
      </w:r>
      <w:proofErr w:type="gramEnd"/>
      <w:r w:rsidRPr="0009669D">
        <w:rPr>
          <w:rFonts w:eastAsia="Calibri" w:cs="Times New Roman"/>
          <w:lang w:val="en-GB"/>
        </w:rPr>
        <w:t xml:space="preserve"> </w:t>
      </w:r>
      <w:proofErr w:type="gramStart"/>
      <w:r w:rsidRPr="0009669D">
        <w:rPr>
          <w:rFonts w:eastAsia="Calibri" w:cs="Times New Roman"/>
          <w:lang w:val="en-GB"/>
        </w:rPr>
        <w:t>The role of technology use in the survival and growth of manufacturing plants.</w:t>
      </w:r>
      <w:proofErr w:type="gramEnd"/>
      <w:r w:rsidRPr="0009669D">
        <w:rPr>
          <w:rFonts w:eastAsia="Calibri" w:cs="Times New Roman"/>
          <w:lang w:val="en-GB"/>
        </w:rPr>
        <w:t xml:space="preserve"> </w:t>
      </w:r>
      <w:proofErr w:type="gramStart"/>
      <w:r w:rsidRPr="0009669D">
        <w:rPr>
          <w:rFonts w:eastAsia="Calibri" w:cs="Times New Roman"/>
          <w:lang w:val="en-GB"/>
        </w:rPr>
        <w:t>International journal of industrial organization, 13(4), 523-542.</w:t>
      </w:r>
      <w:proofErr w:type="gramEnd"/>
    </w:p>
    <w:p w14:paraId="79F1B3C3" w14:textId="77777777" w:rsidR="00415057" w:rsidRPr="0009669D" w:rsidRDefault="00415057" w:rsidP="0070319D">
      <w:pPr>
        <w:spacing w:before="240" w:after="0"/>
        <w:ind w:left="708" w:hanging="708"/>
        <w:rPr>
          <w:rFonts w:eastAsia="Calibri" w:cs="Times New Roman"/>
          <w:lang w:val="en-GB"/>
        </w:rPr>
      </w:pPr>
      <w:r w:rsidRPr="0009669D">
        <w:rPr>
          <w:rFonts w:eastAsia="Calibri" w:cs="Times New Roman"/>
          <w:lang w:val="en-GB"/>
        </w:rPr>
        <w:t xml:space="preserve">Falk, M. (2008). Testing Gibrat's Law for European Multinational Enterprises. FIW Research Reports, No. 0.14, FIW - </w:t>
      </w:r>
      <w:r w:rsidRPr="0009669D">
        <w:rPr>
          <w:lang w:val="en-GB"/>
        </w:rPr>
        <w:t>Research Centre International Economics, Vienna.</w:t>
      </w:r>
      <w:r w:rsidRPr="0009669D">
        <w:rPr>
          <w:rFonts w:eastAsia="Calibri" w:cs="Times New Roman"/>
          <w:lang w:val="en-GB"/>
        </w:rPr>
        <w:t xml:space="preserve"> </w:t>
      </w:r>
    </w:p>
    <w:p w14:paraId="488A3F98"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es-ES"/>
        </w:rPr>
        <w:t xml:space="preserve">Fariñas, J. C., &amp; Moreno, L. (2000). </w:t>
      </w:r>
      <w:r w:rsidRPr="0009669D">
        <w:rPr>
          <w:rFonts w:eastAsia="Calibri" w:cs="Times New Roman"/>
          <w:lang w:val="en-GB"/>
        </w:rPr>
        <w:t>Firms' growth, size and age: A nonparametric approach. Review of Industrial organization, 17(3), 249-265.</w:t>
      </w:r>
    </w:p>
    <w:p w14:paraId="7AB67884" w14:textId="77777777" w:rsidR="00415057" w:rsidRPr="0009669D" w:rsidRDefault="00415057" w:rsidP="0070319D">
      <w:pPr>
        <w:spacing w:before="240" w:after="0"/>
        <w:ind w:left="708" w:hanging="708"/>
        <w:rPr>
          <w:rFonts w:eastAsia="Calibri" w:cs="Times New Roman"/>
          <w:lang w:val="en-GB"/>
        </w:rPr>
      </w:pPr>
      <w:r w:rsidRPr="0009669D">
        <w:rPr>
          <w:rFonts w:eastAsia="Calibri" w:cs="Times New Roman"/>
          <w:lang w:val="en-GB"/>
        </w:rPr>
        <w:t xml:space="preserve">Fotopoulos, G., &amp; </w:t>
      </w:r>
      <w:proofErr w:type="spellStart"/>
      <w:r w:rsidRPr="0009669D">
        <w:rPr>
          <w:rFonts w:eastAsia="Calibri" w:cs="Times New Roman"/>
          <w:lang w:val="en-GB"/>
        </w:rPr>
        <w:t>Giotopoulos</w:t>
      </w:r>
      <w:proofErr w:type="spellEnd"/>
      <w:r w:rsidRPr="0009669D">
        <w:rPr>
          <w:rFonts w:eastAsia="Calibri" w:cs="Times New Roman"/>
          <w:lang w:val="en-GB"/>
        </w:rPr>
        <w:t xml:space="preserve">, I. (2010). </w:t>
      </w:r>
      <w:proofErr w:type="spellStart"/>
      <w:proofErr w:type="gramStart"/>
      <w:r w:rsidRPr="0009669D">
        <w:rPr>
          <w:rFonts w:eastAsia="Calibri" w:cs="Times New Roman"/>
          <w:lang w:val="en-GB"/>
        </w:rPr>
        <w:t>Gribrat's</w:t>
      </w:r>
      <w:proofErr w:type="spellEnd"/>
      <w:r w:rsidRPr="0009669D">
        <w:rPr>
          <w:rFonts w:eastAsia="Calibri" w:cs="Times New Roman"/>
          <w:lang w:val="en-GB"/>
        </w:rPr>
        <w:t xml:space="preserve"> law and persistence of growth in Greek manufacturing.</w:t>
      </w:r>
      <w:proofErr w:type="gramEnd"/>
      <w:r w:rsidRPr="0009669D">
        <w:rPr>
          <w:rFonts w:eastAsia="Calibri" w:cs="Times New Roman"/>
          <w:lang w:val="en-GB"/>
        </w:rPr>
        <w:t xml:space="preserve"> Small Business Economics, 35(2), 191-202.</w:t>
      </w:r>
    </w:p>
    <w:p w14:paraId="453A590A" w14:textId="77777777" w:rsidR="00415057" w:rsidRPr="0009669D" w:rsidRDefault="00415057" w:rsidP="0070319D">
      <w:pPr>
        <w:spacing w:before="240" w:after="0"/>
        <w:ind w:left="708" w:hanging="708"/>
        <w:rPr>
          <w:rFonts w:eastAsia="Calibri" w:cs="Times New Roman"/>
          <w:lang w:val="en-GB"/>
        </w:rPr>
      </w:pPr>
      <w:proofErr w:type="spellStart"/>
      <w:r w:rsidRPr="00CB7626">
        <w:rPr>
          <w:rFonts w:eastAsia="Calibri" w:cs="Times New Roman"/>
          <w:lang w:val="es-ES"/>
        </w:rPr>
        <w:t>Fujiwara</w:t>
      </w:r>
      <w:proofErr w:type="spellEnd"/>
      <w:r w:rsidRPr="00CB7626">
        <w:rPr>
          <w:rFonts w:eastAsia="Calibri" w:cs="Times New Roman"/>
          <w:lang w:val="es-ES"/>
        </w:rPr>
        <w:t xml:space="preserve">, Y., Di </w:t>
      </w:r>
      <w:proofErr w:type="spellStart"/>
      <w:r w:rsidRPr="00CB7626">
        <w:rPr>
          <w:rFonts w:eastAsia="Calibri" w:cs="Times New Roman"/>
          <w:lang w:val="es-ES"/>
        </w:rPr>
        <w:t>Guilmi</w:t>
      </w:r>
      <w:proofErr w:type="spellEnd"/>
      <w:r w:rsidRPr="00CB7626">
        <w:rPr>
          <w:rFonts w:eastAsia="Calibri" w:cs="Times New Roman"/>
          <w:lang w:val="es-ES"/>
        </w:rPr>
        <w:t xml:space="preserve">, C., </w:t>
      </w:r>
      <w:proofErr w:type="spellStart"/>
      <w:r w:rsidRPr="00CB7626">
        <w:rPr>
          <w:rFonts w:eastAsia="Calibri" w:cs="Times New Roman"/>
          <w:lang w:val="es-ES"/>
        </w:rPr>
        <w:t>Aoyama</w:t>
      </w:r>
      <w:proofErr w:type="spellEnd"/>
      <w:r w:rsidRPr="00CB7626">
        <w:rPr>
          <w:rFonts w:eastAsia="Calibri" w:cs="Times New Roman"/>
          <w:lang w:val="es-ES"/>
        </w:rPr>
        <w:t xml:space="preserve">, H., </w:t>
      </w:r>
      <w:proofErr w:type="spellStart"/>
      <w:r w:rsidRPr="00CB7626">
        <w:rPr>
          <w:rFonts w:eastAsia="Calibri" w:cs="Times New Roman"/>
          <w:lang w:val="es-ES"/>
        </w:rPr>
        <w:t>Gallegati</w:t>
      </w:r>
      <w:proofErr w:type="spellEnd"/>
      <w:r w:rsidRPr="00CB7626">
        <w:rPr>
          <w:rFonts w:eastAsia="Calibri" w:cs="Times New Roman"/>
          <w:lang w:val="es-ES"/>
        </w:rPr>
        <w:t xml:space="preserve">, M., &amp; </w:t>
      </w:r>
      <w:proofErr w:type="spellStart"/>
      <w:r w:rsidRPr="00CB7626">
        <w:rPr>
          <w:rFonts w:eastAsia="Calibri" w:cs="Times New Roman"/>
          <w:lang w:val="es-ES"/>
        </w:rPr>
        <w:t>Souma</w:t>
      </w:r>
      <w:proofErr w:type="spellEnd"/>
      <w:r w:rsidRPr="00CB7626">
        <w:rPr>
          <w:rFonts w:eastAsia="Calibri" w:cs="Times New Roman"/>
          <w:lang w:val="es-ES"/>
        </w:rPr>
        <w:t xml:space="preserve">, W. (2004). </w:t>
      </w:r>
      <w:r w:rsidRPr="0009669D">
        <w:rPr>
          <w:rFonts w:eastAsia="Calibri" w:cs="Times New Roman"/>
          <w:lang w:val="en-GB"/>
        </w:rPr>
        <w:t>Do Pareto-</w:t>
      </w:r>
      <w:proofErr w:type="spellStart"/>
      <w:r w:rsidRPr="0009669D">
        <w:rPr>
          <w:rFonts w:eastAsia="Calibri" w:cs="Times New Roman"/>
          <w:lang w:val="en-GB"/>
        </w:rPr>
        <w:t>Zipf</w:t>
      </w:r>
      <w:proofErr w:type="spellEnd"/>
      <w:r w:rsidRPr="0009669D">
        <w:rPr>
          <w:rFonts w:eastAsia="Calibri" w:cs="Times New Roman"/>
          <w:lang w:val="en-GB"/>
        </w:rPr>
        <w:t xml:space="preserve"> and Gibrat laws hold true? </w:t>
      </w:r>
      <w:proofErr w:type="gramStart"/>
      <w:r w:rsidRPr="0009669D">
        <w:rPr>
          <w:rFonts w:eastAsia="Calibri" w:cs="Times New Roman"/>
          <w:lang w:val="en-GB"/>
        </w:rPr>
        <w:t>An analysis with European Firms.</w:t>
      </w:r>
      <w:proofErr w:type="gramEnd"/>
      <w:r w:rsidRPr="0009669D">
        <w:rPr>
          <w:rFonts w:eastAsia="Calibri" w:cs="Times New Roman"/>
          <w:lang w:val="en-GB"/>
        </w:rPr>
        <w:t xml:space="preserve"> </w:t>
      </w:r>
      <w:proofErr w:type="spellStart"/>
      <w:r w:rsidRPr="0009669D">
        <w:rPr>
          <w:rFonts w:eastAsia="Calibri" w:cs="Times New Roman"/>
          <w:lang w:val="en-GB"/>
        </w:rPr>
        <w:t>Physica</w:t>
      </w:r>
      <w:proofErr w:type="spellEnd"/>
      <w:r w:rsidRPr="0009669D">
        <w:rPr>
          <w:rFonts w:eastAsia="Calibri" w:cs="Times New Roman"/>
          <w:lang w:val="en-GB"/>
        </w:rPr>
        <w:t xml:space="preserve"> A: Statistical Mechanics and its Applications, 335(1-2), 197-216.</w:t>
      </w:r>
    </w:p>
    <w:p w14:paraId="6A769C7D"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pt-PT"/>
        </w:rPr>
        <w:t xml:space="preserve">Ganugi, P., Grossi, L., &amp; Crosato, L. (2004). </w:t>
      </w:r>
      <w:r w:rsidRPr="0009669D">
        <w:rPr>
          <w:rFonts w:eastAsia="Calibri" w:cs="Times New Roman"/>
          <w:lang w:val="en-GB"/>
        </w:rPr>
        <w:t>Firm size distributions and stochastic growth models: a comparison between ICT and Mechanical Italian Companies. Statistical Methods and Applications, 12(3), 391-414.</w:t>
      </w:r>
    </w:p>
    <w:p w14:paraId="635E48AA" w14:textId="77777777" w:rsidR="00415057" w:rsidRPr="0009669D" w:rsidRDefault="00415057" w:rsidP="0070319D">
      <w:pPr>
        <w:spacing w:before="240" w:after="0"/>
        <w:ind w:left="708" w:hanging="708"/>
        <w:rPr>
          <w:rFonts w:eastAsia="Calibri" w:cs="Times New Roman"/>
          <w:lang w:val="en-GB"/>
        </w:rPr>
      </w:pPr>
      <w:r w:rsidRPr="0009669D">
        <w:rPr>
          <w:rFonts w:eastAsia="Calibri" w:cs="Times New Roman"/>
          <w:lang w:val="en-GB"/>
        </w:rPr>
        <w:t xml:space="preserve">Gibrat, R. (1931). Les </w:t>
      </w:r>
      <w:proofErr w:type="spellStart"/>
      <w:r w:rsidRPr="0009669D">
        <w:rPr>
          <w:rFonts w:eastAsia="Calibri" w:cs="Times New Roman"/>
          <w:lang w:val="en-GB"/>
        </w:rPr>
        <w:t>inégalités</w:t>
      </w:r>
      <w:proofErr w:type="spellEnd"/>
      <w:r w:rsidRPr="0009669D">
        <w:rPr>
          <w:rFonts w:eastAsia="Calibri" w:cs="Times New Roman"/>
          <w:lang w:val="en-GB"/>
        </w:rPr>
        <w:t xml:space="preserve"> </w:t>
      </w:r>
      <w:proofErr w:type="spellStart"/>
      <w:r w:rsidRPr="0009669D">
        <w:rPr>
          <w:rFonts w:eastAsia="Calibri" w:cs="Times New Roman"/>
          <w:lang w:val="en-GB"/>
        </w:rPr>
        <w:t>économiques</w:t>
      </w:r>
      <w:proofErr w:type="spellEnd"/>
      <w:r w:rsidRPr="0009669D">
        <w:rPr>
          <w:rFonts w:eastAsia="Calibri" w:cs="Times New Roman"/>
          <w:lang w:val="en-GB"/>
        </w:rPr>
        <w:t xml:space="preserve">: applications: aux </w:t>
      </w:r>
      <w:proofErr w:type="spellStart"/>
      <w:r w:rsidRPr="0009669D">
        <w:rPr>
          <w:rFonts w:eastAsia="Calibri" w:cs="Times New Roman"/>
          <w:lang w:val="en-GB"/>
        </w:rPr>
        <w:t>inégalitês</w:t>
      </w:r>
      <w:proofErr w:type="spellEnd"/>
      <w:r w:rsidRPr="0009669D">
        <w:rPr>
          <w:rFonts w:eastAsia="Calibri" w:cs="Times New Roman"/>
          <w:lang w:val="en-GB"/>
        </w:rPr>
        <w:t xml:space="preserve"> des </w:t>
      </w:r>
      <w:proofErr w:type="spellStart"/>
      <w:r w:rsidRPr="0009669D">
        <w:rPr>
          <w:rFonts w:eastAsia="Calibri" w:cs="Times New Roman"/>
          <w:lang w:val="en-GB"/>
        </w:rPr>
        <w:t>richesses</w:t>
      </w:r>
      <w:proofErr w:type="spellEnd"/>
      <w:r w:rsidRPr="0009669D">
        <w:rPr>
          <w:rFonts w:eastAsia="Calibri" w:cs="Times New Roman"/>
          <w:lang w:val="en-GB"/>
        </w:rPr>
        <w:t xml:space="preserve">, à la concentration des </w:t>
      </w:r>
      <w:proofErr w:type="spellStart"/>
      <w:r w:rsidRPr="0009669D">
        <w:rPr>
          <w:rFonts w:eastAsia="Calibri" w:cs="Times New Roman"/>
          <w:lang w:val="en-GB"/>
        </w:rPr>
        <w:t>entreprises</w:t>
      </w:r>
      <w:proofErr w:type="spellEnd"/>
      <w:r w:rsidRPr="0009669D">
        <w:rPr>
          <w:rFonts w:eastAsia="Calibri" w:cs="Times New Roman"/>
          <w:lang w:val="en-GB"/>
        </w:rPr>
        <w:t xml:space="preserve">, aux populations des </w:t>
      </w:r>
      <w:proofErr w:type="spellStart"/>
      <w:r w:rsidRPr="0009669D">
        <w:rPr>
          <w:rFonts w:eastAsia="Calibri" w:cs="Times New Roman"/>
          <w:lang w:val="en-GB"/>
        </w:rPr>
        <w:t>villes</w:t>
      </w:r>
      <w:proofErr w:type="spellEnd"/>
      <w:r w:rsidRPr="0009669D">
        <w:rPr>
          <w:rFonts w:eastAsia="Calibri" w:cs="Times New Roman"/>
          <w:lang w:val="en-GB"/>
        </w:rPr>
        <w:t xml:space="preserve">, aux </w:t>
      </w:r>
      <w:proofErr w:type="spellStart"/>
      <w:r w:rsidRPr="0009669D">
        <w:rPr>
          <w:rFonts w:eastAsia="Calibri" w:cs="Times New Roman"/>
          <w:lang w:val="en-GB"/>
        </w:rPr>
        <w:t>statistiques</w:t>
      </w:r>
      <w:proofErr w:type="spellEnd"/>
      <w:r w:rsidRPr="0009669D">
        <w:rPr>
          <w:rFonts w:eastAsia="Calibri" w:cs="Times New Roman"/>
          <w:lang w:val="en-GB"/>
        </w:rPr>
        <w:t xml:space="preserve"> des </w:t>
      </w:r>
      <w:proofErr w:type="spellStart"/>
      <w:r w:rsidRPr="0009669D">
        <w:rPr>
          <w:rFonts w:eastAsia="Calibri" w:cs="Times New Roman"/>
          <w:lang w:val="en-GB"/>
        </w:rPr>
        <w:t>familles</w:t>
      </w:r>
      <w:proofErr w:type="spellEnd"/>
      <w:r w:rsidRPr="0009669D">
        <w:rPr>
          <w:rFonts w:eastAsia="Calibri" w:cs="Times New Roman"/>
          <w:lang w:val="en-GB"/>
        </w:rPr>
        <w:t xml:space="preserve">, </w:t>
      </w:r>
      <w:proofErr w:type="spellStart"/>
      <w:r w:rsidRPr="0009669D">
        <w:rPr>
          <w:rFonts w:eastAsia="Calibri" w:cs="Times New Roman"/>
          <w:lang w:val="en-GB"/>
        </w:rPr>
        <w:t>etc</w:t>
      </w:r>
      <w:proofErr w:type="spellEnd"/>
      <w:r w:rsidRPr="0009669D">
        <w:rPr>
          <w:rFonts w:eastAsia="Calibri" w:cs="Times New Roman"/>
          <w:lang w:val="en-GB"/>
        </w:rPr>
        <w:t xml:space="preserve">: </w:t>
      </w:r>
      <w:proofErr w:type="spellStart"/>
      <w:r w:rsidRPr="0009669D">
        <w:rPr>
          <w:rFonts w:eastAsia="Calibri" w:cs="Times New Roman"/>
          <w:lang w:val="en-GB"/>
        </w:rPr>
        <w:t>d'une</w:t>
      </w:r>
      <w:proofErr w:type="spellEnd"/>
      <w:r w:rsidRPr="0009669D">
        <w:rPr>
          <w:rFonts w:eastAsia="Calibri" w:cs="Times New Roman"/>
          <w:lang w:val="en-GB"/>
        </w:rPr>
        <w:t xml:space="preserve"> </w:t>
      </w:r>
      <w:proofErr w:type="spellStart"/>
      <w:r w:rsidRPr="0009669D">
        <w:rPr>
          <w:rFonts w:eastAsia="Calibri" w:cs="Times New Roman"/>
          <w:lang w:val="en-GB"/>
        </w:rPr>
        <w:t>loi</w:t>
      </w:r>
      <w:proofErr w:type="spellEnd"/>
      <w:r w:rsidRPr="0009669D">
        <w:rPr>
          <w:rFonts w:eastAsia="Calibri" w:cs="Times New Roman"/>
          <w:lang w:val="en-GB"/>
        </w:rPr>
        <w:t xml:space="preserve"> nouvelle: la </w:t>
      </w:r>
      <w:proofErr w:type="spellStart"/>
      <w:r w:rsidRPr="0009669D">
        <w:rPr>
          <w:rFonts w:eastAsia="Calibri" w:cs="Times New Roman"/>
          <w:lang w:val="en-GB"/>
        </w:rPr>
        <w:t>loi</w:t>
      </w:r>
      <w:proofErr w:type="spellEnd"/>
      <w:r w:rsidRPr="0009669D">
        <w:rPr>
          <w:rFonts w:eastAsia="Calibri" w:cs="Times New Roman"/>
          <w:lang w:val="en-GB"/>
        </w:rPr>
        <w:t xml:space="preserve"> de </w:t>
      </w:r>
      <w:proofErr w:type="spellStart"/>
      <w:r w:rsidRPr="0009669D">
        <w:rPr>
          <w:rFonts w:eastAsia="Calibri" w:cs="Times New Roman"/>
          <w:lang w:val="en-GB"/>
        </w:rPr>
        <w:t>l'effet</w:t>
      </w:r>
      <w:proofErr w:type="spellEnd"/>
      <w:r w:rsidRPr="0009669D">
        <w:rPr>
          <w:rFonts w:eastAsia="Calibri" w:cs="Times New Roman"/>
          <w:lang w:val="en-GB"/>
        </w:rPr>
        <w:t xml:space="preserve"> </w:t>
      </w:r>
      <w:proofErr w:type="spellStart"/>
      <w:r w:rsidRPr="0009669D">
        <w:rPr>
          <w:rFonts w:eastAsia="Calibri" w:cs="Times New Roman"/>
          <w:lang w:val="en-GB"/>
        </w:rPr>
        <w:t>proportionnel</w:t>
      </w:r>
      <w:proofErr w:type="spellEnd"/>
      <w:r w:rsidRPr="0009669D">
        <w:rPr>
          <w:rFonts w:eastAsia="Calibri" w:cs="Times New Roman"/>
          <w:lang w:val="en-GB"/>
        </w:rPr>
        <w:t xml:space="preserve">. </w:t>
      </w:r>
      <w:proofErr w:type="spellStart"/>
      <w:proofErr w:type="gramStart"/>
      <w:r w:rsidRPr="0009669D">
        <w:rPr>
          <w:rFonts w:eastAsia="Calibri" w:cs="Times New Roman"/>
          <w:lang w:val="en-GB"/>
        </w:rPr>
        <w:t>Librairie</w:t>
      </w:r>
      <w:proofErr w:type="spellEnd"/>
      <w:r w:rsidRPr="0009669D">
        <w:rPr>
          <w:rFonts w:eastAsia="Calibri" w:cs="Times New Roman"/>
          <w:lang w:val="en-GB"/>
        </w:rPr>
        <w:t xml:space="preserve"> du </w:t>
      </w:r>
      <w:proofErr w:type="spellStart"/>
      <w:r w:rsidRPr="0009669D">
        <w:rPr>
          <w:rFonts w:eastAsia="Calibri" w:cs="Times New Roman"/>
          <w:lang w:val="en-GB"/>
        </w:rPr>
        <w:t>Recueil</w:t>
      </w:r>
      <w:proofErr w:type="spellEnd"/>
      <w:r w:rsidRPr="0009669D">
        <w:rPr>
          <w:rFonts w:eastAsia="Calibri" w:cs="Times New Roman"/>
          <w:lang w:val="en-GB"/>
        </w:rPr>
        <w:t xml:space="preserve"> </w:t>
      </w:r>
      <w:proofErr w:type="spellStart"/>
      <w:r w:rsidRPr="0009669D">
        <w:rPr>
          <w:rFonts w:eastAsia="Calibri" w:cs="Times New Roman"/>
          <w:lang w:val="en-GB"/>
        </w:rPr>
        <w:t>Sirey</w:t>
      </w:r>
      <w:proofErr w:type="spellEnd"/>
      <w:r w:rsidRPr="0009669D">
        <w:rPr>
          <w:rFonts w:eastAsia="Calibri" w:cs="Times New Roman"/>
          <w:lang w:val="en-GB"/>
        </w:rPr>
        <w:t>.</w:t>
      </w:r>
      <w:proofErr w:type="gramEnd"/>
    </w:p>
    <w:p w14:paraId="3316991F" w14:textId="77777777" w:rsidR="00415057" w:rsidRPr="00CB7626" w:rsidRDefault="00415057" w:rsidP="0070319D">
      <w:pPr>
        <w:spacing w:before="240" w:after="0"/>
        <w:ind w:left="708" w:hanging="708"/>
        <w:rPr>
          <w:rFonts w:eastAsia="Calibri" w:cs="Times New Roman"/>
          <w:lang w:val="es-ES"/>
        </w:rPr>
      </w:pPr>
      <w:r w:rsidRPr="0009669D">
        <w:rPr>
          <w:rFonts w:eastAsia="Calibri" w:cs="Times New Roman"/>
          <w:lang w:val="en-GB"/>
        </w:rPr>
        <w:t xml:space="preserve">Goddard, J., Wilson, J., &amp; Blandon, P. (2002). Panel tests of Gibrat's law for Japanese manufacturing. </w:t>
      </w:r>
      <w:r w:rsidRPr="00CB7626">
        <w:rPr>
          <w:rFonts w:eastAsia="Calibri" w:cs="Times New Roman"/>
          <w:lang w:val="es-ES"/>
        </w:rPr>
        <w:t xml:space="preserve">International </w:t>
      </w:r>
      <w:proofErr w:type="spellStart"/>
      <w:r w:rsidRPr="00CB7626">
        <w:rPr>
          <w:rFonts w:eastAsia="Calibri" w:cs="Times New Roman"/>
          <w:lang w:val="es-ES"/>
        </w:rPr>
        <w:t>Journal</w:t>
      </w:r>
      <w:proofErr w:type="spellEnd"/>
      <w:r w:rsidRPr="00CB7626">
        <w:rPr>
          <w:rFonts w:eastAsia="Calibri" w:cs="Times New Roman"/>
          <w:lang w:val="es-ES"/>
        </w:rPr>
        <w:t xml:space="preserve"> of Industrial </w:t>
      </w:r>
      <w:proofErr w:type="spellStart"/>
      <w:r w:rsidRPr="00CB7626">
        <w:rPr>
          <w:rFonts w:eastAsia="Calibri" w:cs="Times New Roman"/>
          <w:lang w:val="es-ES"/>
        </w:rPr>
        <w:t>Organization</w:t>
      </w:r>
      <w:proofErr w:type="spellEnd"/>
      <w:r w:rsidRPr="00CB7626">
        <w:rPr>
          <w:rFonts w:eastAsia="Calibri" w:cs="Times New Roman"/>
          <w:lang w:val="es-ES"/>
        </w:rPr>
        <w:t>, 20(3), 415-433.</w:t>
      </w:r>
    </w:p>
    <w:p w14:paraId="04FCFB4E" w14:textId="77777777" w:rsidR="00415057" w:rsidRPr="001461CC" w:rsidRDefault="00415057" w:rsidP="0070319D">
      <w:pPr>
        <w:spacing w:before="240" w:after="0"/>
        <w:ind w:left="708" w:hanging="708"/>
        <w:rPr>
          <w:rFonts w:eastAsia="Calibri" w:cs="Times New Roman"/>
          <w:lang w:val="es-ES"/>
        </w:rPr>
      </w:pPr>
      <w:r w:rsidRPr="001461CC">
        <w:rPr>
          <w:rFonts w:eastAsia="Calibri" w:cs="Times New Roman"/>
          <w:lang w:val="es-ES"/>
        </w:rPr>
        <w:t>González, A., &amp; Correa, A. (1998). Crecimiento y tamaño: un estudio empírico. Revista española de Financiación y Contabilidad, 27(95), 541-573.</w:t>
      </w:r>
    </w:p>
    <w:p w14:paraId="784185EC"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es-ES"/>
        </w:rPr>
        <w:lastRenderedPageBreak/>
        <w:t xml:space="preserve">González-Val, R., </w:t>
      </w:r>
      <w:proofErr w:type="spellStart"/>
      <w:r w:rsidRPr="001461CC">
        <w:rPr>
          <w:rFonts w:eastAsia="Calibri" w:cs="Times New Roman"/>
          <w:lang w:val="es-ES"/>
        </w:rPr>
        <w:t>Lanaspa</w:t>
      </w:r>
      <w:proofErr w:type="spellEnd"/>
      <w:r w:rsidRPr="001461CC">
        <w:rPr>
          <w:rFonts w:eastAsia="Calibri" w:cs="Times New Roman"/>
          <w:lang w:val="es-ES"/>
        </w:rPr>
        <w:t xml:space="preserve">, L., &amp; Sanz, F. (2014). </w:t>
      </w:r>
      <w:proofErr w:type="gramStart"/>
      <w:r w:rsidRPr="0009669D">
        <w:rPr>
          <w:rFonts w:eastAsia="Calibri" w:cs="Times New Roman"/>
          <w:lang w:val="en-GB"/>
        </w:rPr>
        <w:t xml:space="preserve">New evidence on </w:t>
      </w:r>
      <w:proofErr w:type="spellStart"/>
      <w:r w:rsidRPr="0009669D">
        <w:rPr>
          <w:rFonts w:eastAsia="Calibri" w:cs="Times New Roman"/>
          <w:lang w:val="en-GB"/>
        </w:rPr>
        <w:t>Gibrat's</w:t>
      </w:r>
      <w:proofErr w:type="spellEnd"/>
      <w:r w:rsidRPr="0009669D">
        <w:rPr>
          <w:rFonts w:eastAsia="Calibri" w:cs="Times New Roman"/>
          <w:lang w:val="en-GB"/>
        </w:rPr>
        <w:t xml:space="preserve"> law for cities.</w:t>
      </w:r>
      <w:proofErr w:type="gramEnd"/>
      <w:r w:rsidRPr="0009669D">
        <w:rPr>
          <w:rFonts w:eastAsia="Calibri" w:cs="Times New Roman"/>
          <w:lang w:val="en-GB"/>
        </w:rPr>
        <w:t xml:space="preserve"> Urban Studies, 51(1), 93-115.</w:t>
      </w:r>
    </w:p>
    <w:p w14:paraId="04BB9D7B" w14:textId="77777777" w:rsidR="00415057" w:rsidRPr="0009669D" w:rsidRDefault="00415057" w:rsidP="0070319D">
      <w:pPr>
        <w:spacing w:before="240" w:after="0"/>
        <w:ind w:left="708" w:hanging="708"/>
        <w:rPr>
          <w:rFonts w:eastAsia="Calibri" w:cs="Times New Roman"/>
          <w:lang w:val="en-GB"/>
        </w:rPr>
      </w:pPr>
      <w:r w:rsidRPr="0009669D">
        <w:rPr>
          <w:rFonts w:eastAsia="Calibri" w:cs="Times New Roman"/>
          <w:lang w:val="en-GB"/>
        </w:rPr>
        <w:t>Harris, R., &amp; Trainor, M. (2005). Plant level analysis using the ARD: Another look at Gibrat's Law. Scottish Journal of Political Economy, 52(3), 492-518.</w:t>
      </w:r>
    </w:p>
    <w:p w14:paraId="2C953D25" w14:textId="77777777" w:rsidR="00415057" w:rsidRPr="0009669D" w:rsidRDefault="00415057" w:rsidP="0070319D">
      <w:pPr>
        <w:spacing w:before="240" w:after="0"/>
        <w:ind w:left="708" w:hanging="708"/>
        <w:rPr>
          <w:rFonts w:eastAsia="Calibri" w:cs="Times New Roman"/>
          <w:lang w:val="en-GB"/>
        </w:rPr>
      </w:pPr>
      <w:proofErr w:type="spellStart"/>
      <w:r w:rsidRPr="0009669D">
        <w:rPr>
          <w:rFonts w:eastAsia="Calibri" w:cs="Times New Roman"/>
          <w:lang w:val="en-GB"/>
        </w:rPr>
        <w:t>Heshmati</w:t>
      </w:r>
      <w:proofErr w:type="spellEnd"/>
      <w:r w:rsidRPr="0009669D">
        <w:rPr>
          <w:rFonts w:eastAsia="Calibri" w:cs="Times New Roman"/>
          <w:lang w:val="en-GB"/>
        </w:rPr>
        <w:t xml:space="preserve">, A. (2001). On the growth of micro and small firms: evidence from Sweden. </w:t>
      </w:r>
      <w:proofErr w:type="gramStart"/>
      <w:r w:rsidRPr="0009669D">
        <w:rPr>
          <w:rFonts w:eastAsia="Calibri" w:cs="Times New Roman"/>
          <w:lang w:val="en-GB"/>
        </w:rPr>
        <w:t>Small business economics, 17(3), 213-228.</w:t>
      </w:r>
      <w:proofErr w:type="gramEnd"/>
    </w:p>
    <w:p w14:paraId="74577686" w14:textId="77777777" w:rsidR="00415057" w:rsidRPr="00CB7626" w:rsidRDefault="00415057" w:rsidP="0070319D">
      <w:pPr>
        <w:spacing w:before="240" w:after="0"/>
        <w:ind w:left="708" w:hanging="708"/>
        <w:rPr>
          <w:rFonts w:eastAsia="Calibri" w:cs="Times New Roman"/>
          <w:lang w:val="es-ES"/>
        </w:rPr>
      </w:pPr>
      <w:proofErr w:type="spellStart"/>
      <w:r w:rsidRPr="0009669D">
        <w:rPr>
          <w:rFonts w:eastAsia="Calibri" w:cs="Times New Roman"/>
          <w:lang w:val="en-GB"/>
        </w:rPr>
        <w:t>Hyytinen</w:t>
      </w:r>
      <w:proofErr w:type="spellEnd"/>
      <w:r w:rsidRPr="0009669D">
        <w:rPr>
          <w:rFonts w:eastAsia="Calibri" w:cs="Times New Roman"/>
          <w:lang w:val="en-GB"/>
        </w:rPr>
        <w:t xml:space="preserve">, A., &amp; </w:t>
      </w:r>
      <w:proofErr w:type="spellStart"/>
      <w:r w:rsidRPr="0009669D">
        <w:rPr>
          <w:rFonts w:eastAsia="Calibri" w:cs="Times New Roman"/>
          <w:lang w:val="en-GB"/>
        </w:rPr>
        <w:t>Toivanen</w:t>
      </w:r>
      <w:proofErr w:type="spellEnd"/>
      <w:r w:rsidRPr="0009669D">
        <w:rPr>
          <w:rFonts w:eastAsia="Calibri" w:cs="Times New Roman"/>
          <w:lang w:val="en-GB"/>
        </w:rPr>
        <w:t>, O. (2005). Do financial constraints hold back innovation and growth</w:t>
      </w:r>
      <w:proofErr w:type="gramStart"/>
      <w:r w:rsidRPr="0009669D">
        <w:rPr>
          <w:rFonts w:eastAsia="Calibri" w:cs="Times New Roman"/>
          <w:lang w:val="en-GB"/>
        </w:rPr>
        <w:t>?:</w:t>
      </w:r>
      <w:proofErr w:type="gramEnd"/>
      <w:r w:rsidRPr="0009669D">
        <w:rPr>
          <w:rFonts w:eastAsia="Calibri" w:cs="Times New Roman"/>
          <w:lang w:val="en-GB"/>
        </w:rPr>
        <w:t xml:space="preserve"> Evidence on the role of public policy. </w:t>
      </w:r>
      <w:proofErr w:type="spellStart"/>
      <w:r w:rsidRPr="00CB7626">
        <w:rPr>
          <w:rFonts w:eastAsia="Calibri" w:cs="Times New Roman"/>
          <w:lang w:val="es-ES"/>
        </w:rPr>
        <w:t>Research</w:t>
      </w:r>
      <w:proofErr w:type="spellEnd"/>
      <w:r w:rsidRPr="00CB7626">
        <w:rPr>
          <w:rFonts w:eastAsia="Calibri" w:cs="Times New Roman"/>
          <w:lang w:val="es-ES"/>
        </w:rPr>
        <w:t xml:space="preserve"> </w:t>
      </w:r>
      <w:proofErr w:type="spellStart"/>
      <w:r w:rsidRPr="00CB7626">
        <w:rPr>
          <w:rFonts w:eastAsia="Calibri" w:cs="Times New Roman"/>
          <w:lang w:val="es-ES"/>
        </w:rPr>
        <w:t>Policy</w:t>
      </w:r>
      <w:proofErr w:type="spellEnd"/>
      <w:r w:rsidRPr="00CB7626">
        <w:rPr>
          <w:rFonts w:eastAsia="Calibri" w:cs="Times New Roman"/>
          <w:lang w:val="es-ES"/>
        </w:rPr>
        <w:t>.</w:t>
      </w:r>
    </w:p>
    <w:p w14:paraId="5A6AFAD3" w14:textId="77777777" w:rsidR="00415057" w:rsidRPr="001461CC" w:rsidRDefault="00415057" w:rsidP="0070319D">
      <w:pPr>
        <w:spacing w:before="240" w:after="0"/>
        <w:ind w:left="708" w:hanging="708"/>
        <w:rPr>
          <w:rFonts w:eastAsia="Calibri" w:cs="Times New Roman"/>
          <w:lang w:val="es-ES"/>
        </w:rPr>
      </w:pPr>
      <w:r w:rsidRPr="001461CC">
        <w:rPr>
          <w:rFonts w:eastAsia="Calibri" w:cs="Times New Roman"/>
          <w:lang w:val="es-ES"/>
        </w:rPr>
        <w:t>INEC, (2014). Instituto Nacional de Estadísticas y Censos. Directorio de empresas y establecimientos.</w:t>
      </w:r>
    </w:p>
    <w:p w14:paraId="55254C24" w14:textId="77777777" w:rsidR="00415057" w:rsidRPr="001461CC" w:rsidRDefault="00415057" w:rsidP="0070319D">
      <w:pPr>
        <w:spacing w:before="240" w:after="0"/>
        <w:ind w:left="708" w:hanging="708"/>
        <w:rPr>
          <w:rFonts w:eastAsia="Calibri" w:cs="Times New Roman"/>
          <w:lang w:val="es-ES"/>
        </w:rPr>
      </w:pPr>
      <w:r w:rsidRPr="001461CC">
        <w:rPr>
          <w:rFonts w:eastAsia="Calibri" w:cs="Times New Roman"/>
          <w:lang w:val="es-ES"/>
        </w:rPr>
        <w:t>INEC, (2017). Instituto Nacional de Estadísticas y Censos. Panorama laboral y empresarial del Ecuador.</w:t>
      </w:r>
    </w:p>
    <w:p w14:paraId="12E6D29A"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es-ES"/>
        </w:rPr>
        <w:t xml:space="preserve">Jácome, H., &amp; King, K. (2013). Estudios industriales de la micro, pequeña y mediana </w:t>
      </w:r>
      <w:proofErr w:type="spellStart"/>
      <w:r w:rsidRPr="001461CC">
        <w:rPr>
          <w:rFonts w:eastAsia="Calibri" w:cs="Times New Roman"/>
          <w:lang w:val="es-ES"/>
        </w:rPr>
        <w:t>mepresa</w:t>
      </w:r>
      <w:proofErr w:type="spellEnd"/>
      <w:r w:rsidRPr="001461CC">
        <w:rPr>
          <w:rFonts w:eastAsia="Calibri" w:cs="Times New Roman"/>
          <w:lang w:val="es-ES"/>
        </w:rPr>
        <w:t xml:space="preserve">. </w:t>
      </w:r>
      <w:r w:rsidRPr="0009669D">
        <w:rPr>
          <w:rFonts w:eastAsia="Calibri" w:cs="Times New Roman"/>
          <w:lang w:val="en-GB"/>
        </w:rPr>
        <w:t xml:space="preserve">(M. </w:t>
      </w:r>
      <w:proofErr w:type="gramStart"/>
      <w:r w:rsidRPr="0009669D">
        <w:rPr>
          <w:rFonts w:eastAsia="Calibri" w:cs="Times New Roman"/>
          <w:lang w:val="en-GB"/>
        </w:rPr>
        <w:t>d</w:t>
      </w:r>
      <w:proofErr w:type="gramEnd"/>
      <w:r w:rsidRPr="0009669D">
        <w:rPr>
          <w:rFonts w:eastAsia="Calibri" w:cs="Times New Roman"/>
          <w:lang w:val="en-GB"/>
        </w:rPr>
        <w:t xml:space="preserve">. (MIPRO), Ed.) Quito: FLACSO, </w:t>
      </w:r>
      <w:proofErr w:type="spellStart"/>
      <w:r w:rsidRPr="0009669D">
        <w:rPr>
          <w:rFonts w:eastAsia="Calibri" w:cs="Times New Roman"/>
          <w:lang w:val="en-GB"/>
        </w:rPr>
        <w:t>Sede</w:t>
      </w:r>
      <w:proofErr w:type="spellEnd"/>
      <w:r w:rsidRPr="0009669D">
        <w:rPr>
          <w:rFonts w:eastAsia="Calibri" w:cs="Times New Roman"/>
          <w:lang w:val="en-GB"/>
        </w:rPr>
        <w:t xml:space="preserve"> Ecuador.</w:t>
      </w:r>
    </w:p>
    <w:p w14:paraId="3C2A2966" w14:textId="77777777" w:rsidR="00415057" w:rsidRPr="0009669D" w:rsidRDefault="00415057" w:rsidP="0070319D">
      <w:pPr>
        <w:spacing w:before="240" w:after="0"/>
        <w:ind w:left="708" w:hanging="708"/>
        <w:rPr>
          <w:rFonts w:eastAsia="Calibri" w:cs="Times New Roman"/>
          <w:lang w:val="en-GB"/>
        </w:rPr>
      </w:pPr>
      <w:proofErr w:type="spellStart"/>
      <w:r w:rsidRPr="0009669D">
        <w:rPr>
          <w:rFonts w:eastAsia="Calibri" w:cs="Times New Roman"/>
          <w:lang w:val="en-GB"/>
        </w:rPr>
        <w:t>Jovanovic</w:t>
      </w:r>
      <w:proofErr w:type="spellEnd"/>
      <w:r w:rsidRPr="0009669D">
        <w:rPr>
          <w:rFonts w:eastAsia="Calibri" w:cs="Times New Roman"/>
          <w:lang w:val="en-GB"/>
        </w:rPr>
        <w:t xml:space="preserve">, B. (1982). </w:t>
      </w:r>
      <w:proofErr w:type="gramStart"/>
      <w:r w:rsidRPr="0009669D">
        <w:rPr>
          <w:rFonts w:eastAsia="Calibri" w:cs="Times New Roman"/>
          <w:lang w:val="en-GB"/>
        </w:rPr>
        <w:t>Selection and the evolution of industry.</w:t>
      </w:r>
      <w:proofErr w:type="gramEnd"/>
      <w:r w:rsidRPr="0009669D">
        <w:rPr>
          <w:rFonts w:eastAsia="Calibri" w:cs="Times New Roman"/>
          <w:lang w:val="en-GB"/>
        </w:rPr>
        <w:t xml:space="preserve"> </w:t>
      </w:r>
      <w:proofErr w:type="spellStart"/>
      <w:r w:rsidRPr="0009669D">
        <w:rPr>
          <w:rFonts w:eastAsia="Calibri" w:cs="Times New Roman"/>
          <w:lang w:val="en-GB"/>
        </w:rPr>
        <w:t>Econometrica</w:t>
      </w:r>
      <w:proofErr w:type="spellEnd"/>
      <w:r w:rsidRPr="0009669D">
        <w:rPr>
          <w:rFonts w:eastAsia="Calibri" w:cs="Times New Roman"/>
          <w:lang w:val="en-GB"/>
        </w:rPr>
        <w:t>, 50, 649-670.</w:t>
      </w:r>
    </w:p>
    <w:p w14:paraId="155153B0" w14:textId="77777777" w:rsidR="00415057" w:rsidRPr="0009669D" w:rsidRDefault="00415057" w:rsidP="0070319D">
      <w:pPr>
        <w:spacing w:before="240" w:after="0"/>
        <w:ind w:left="708" w:hanging="708"/>
        <w:rPr>
          <w:rFonts w:eastAsia="Calibri" w:cs="Times New Roman"/>
          <w:lang w:val="en-GB"/>
        </w:rPr>
      </w:pPr>
      <w:proofErr w:type="spellStart"/>
      <w:r w:rsidRPr="0009669D">
        <w:rPr>
          <w:rFonts w:eastAsia="Calibri" w:cs="Times New Roman"/>
          <w:lang w:val="en-GB"/>
        </w:rPr>
        <w:t>Lensink</w:t>
      </w:r>
      <w:proofErr w:type="spellEnd"/>
      <w:r w:rsidRPr="0009669D">
        <w:rPr>
          <w:rFonts w:eastAsia="Calibri" w:cs="Times New Roman"/>
          <w:lang w:val="en-GB"/>
        </w:rPr>
        <w:t xml:space="preserve">, R., Van Steen, P., &amp; </w:t>
      </w:r>
      <w:proofErr w:type="spellStart"/>
      <w:r w:rsidRPr="0009669D">
        <w:rPr>
          <w:rFonts w:eastAsia="Calibri" w:cs="Times New Roman"/>
          <w:lang w:val="en-GB"/>
        </w:rPr>
        <w:t>Sterken</w:t>
      </w:r>
      <w:proofErr w:type="spellEnd"/>
      <w:r w:rsidRPr="0009669D">
        <w:rPr>
          <w:rFonts w:eastAsia="Calibri" w:cs="Times New Roman"/>
          <w:lang w:val="en-GB"/>
        </w:rPr>
        <w:t xml:space="preserve">, E. (2005). </w:t>
      </w:r>
      <w:proofErr w:type="gramStart"/>
      <w:r w:rsidRPr="0009669D">
        <w:rPr>
          <w:rFonts w:eastAsia="Calibri" w:cs="Times New Roman"/>
          <w:lang w:val="en-GB"/>
        </w:rPr>
        <w:t>Uncertainty and Growth of the Firm.</w:t>
      </w:r>
      <w:proofErr w:type="gramEnd"/>
      <w:r w:rsidRPr="0009669D">
        <w:rPr>
          <w:rFonts w:eastAsia="Calibri" w:cs="Times New Roman"/>
          <w:lang w:val="en-GB"/>
        </w:rPr>
        <w:t xml:space="preserve"> Small Business Economics, 24(4), 381-391.</w:t>
      </w:r>
    </w:p>
    <w:p w14:paraId="6C043398"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pt-PT"/>
        </w:rPr>
        <w:t xml:space="preserve">Levratto, N., Zouikri, M., &amp; Tessier, L. (2010). </w:t>
      </w:r>
      <w:proofErr w:type="gramStart"/>
      <w:r w:rsidRPr="0009669D">
        <w:rPr>
          <w:rFonts w:eastAsia="Calibri" w:cs="Times New Roman"/>
          <w:lang w:val="en-GB"/>
        </w:rPr>
        <w:t>The determinants of growth for SMEs.</w:t>
      </w:r>
      <w:proofErr w:type="gramEnd"/>
      <w:r w:rsidRPr="0009669D">
        <w:rPr>
          <w:rFonts w:eastAsia="Calibri" w:cs="Times New Roman"/>
          <w:lang w:val="en-GB"/>
        </w:rPr>
        <w:t xml:space="preserve"> </w:t>
      </w:r>
      <w:proofErr w:type="gramStart"/>
      <w:r w:rsidRPr="0009669D">
        <w:rPr>
          <w:rFonts w:eastAsia="Calibri" w:cs="Times New Roman"/>
          <w:lang w:val="en-GB"/>
        </w:rPr>
        <w:t>A longitudinal study of French manufacturing firms.</w:t>
      </w:r>
      <w:proofErr w:type="gramEnd"/>
    </w:p>
    <w:p w14:paraId="783C31F2" w14:textId="77777777" w:rsidR="00415057" w:rsidRPr="0009669D" w:rsidRDefault="00415057" w:rsidP="0070319D">
      <w:pPr>
        <w:spacing w:before="240" w:after="0"/>
        <w:ind w:left="708" w:hanging="708"/>
        <w:rPr>
          <w:rFonts w:eastAsia="Calibri" w:cs="Times New Roman"/>
          <w:lang w:val="en-GB"/>
        </w:rPr>
      </w:pPr>
      <w:proofErr w:type="spellStart"/>
      <w:proofErr w:type="gramStart"/>
      <w:r w:rsidRPr="0009669D">
        <w:rPr>
          <w:rFonts w:eastAsia="Calibri" w:cs="Times New Roman"/>
          <w:lang w:val="en-GB"/>
        </w:rPr>
        <w:t>Miralles</w:t>
      </w:r>
      <w:proofErr w:type="spellEnd"/>
      <w:r w:rsidRPr="0009669D">
        <w:rPr>
          <w:rFonts w:eastAsia="Calibri" w:cs="Times New Roman"/>
          <w:lang w:val="en-GB"/>
        </w:rPr>
        <w:t xml:space="preserve">, M., </w:t>
      </w:r>
      <w:proofErr w:type="spellStart"/>
      <w:r w:rsidRPr="0009669D">
        <w:rPr>
          <w:rFonts w:eastAsia="Calibri" w:cs="Times New Roman"/>
          <w:lang w:val="en-GB"/>
        </w:rPr>
        <w:t>Miralles</w:t>
      </w:r>
      <w:proofErr w:type="spellEnd"/>
      <w:r w:rsidRPr="0009669D">
        <w:rPr>
          <w:rFonts w:eastAsia="Calibri" w:cs="Times New Roman"/>
          <w:lang w:val="en-GB"/>
        </w:rPr>
        <w:t xml:space="preserve">, J., &amp; </w:t>
      </w:r>
      <w:proofErr w:type="spellStart"/>
      <w:r w:rsidRPr="0009669D">
        <w:rPr>
          <w:rFonts w:eastAsia="Calibri" w:cs="Times New Roman"/>
          <w:lang w:val="en-GB"/>
        </w:rPr>
        <w:t>Daza</w:t>
      </w:r>
      <w:proofErr w:type="spellEnd"/>
      <w:r w:rsidRPr="0009669D">
        <w:rPr>
          <w:rFonts w:eastAsia="Calibri" w:cs="Times New Roman"/>
          <w:lang w:val="en-GB"/>
        </w:rPr>
        <w:t>, J. (2017).</w:t>
      </w:r>
      <w:proofErr w:type="gramEnd"/>
      <w:r w:rsidRPr="0009669D">
        <w:rPr>
          <w:rFonts w:eastAsia="Calibri" w:cs="Times New Roman"/>
          <w:lang w:val="en-GB"/>
        </w:rPr>
        <w:t xml:space="preserve"> </w:t>
      </w:r>
      <w:r w:rsidRPr="001461CC">
        <w:rPr>
          <w:rFonts w:eastAsia="Calibri" w:cs="Times New Roman"/>
          <w:lang w:val="es-ES"/>
        </w:rPr>
        <w:t xml:space="preserve">Empresas tecnológicas y políticas públicas de desarrollo regional en Brasil. </w:t>
      </w:r>
      <w:proofErr w:type="spellStart"/>
      <w:proofErr w:type="gramStart"/>
      <w:r w:rsidRPr="0009669D">
        <w:rPr>
          <w:rFonts w:eastAsia="Calibri" w:cs="Times New Roman"/>
          <w:lang w:val="en-GB"/>
        </w:rPr>
        <w:t>Revista</w:t>
      </w:r>
      <w:proofErr w:type="spellEnd"/>
      <w:r w:rsidRPr="0009669D">
        <w:rPr>
          <w:rFonts w:eastAsia="Calibri" w:cs="Times New Roman"/>
          <w:lang w:val="en-GB"/>
        </w:rPr>
        <w:t xml:space="preserve"> </w:t>
      </w:r>
      <w:proofErr w:type="spellStart"/>
      <w:r w:rsidRPr="0009669D">
        <w:rPr>
          <w:rFonts w:eastAsia="Calibri" w:cs="Times New Roman"/>
          <w:lang w:val="en-GB"/>
        </w:rPr>
        <w:t>problemas</w:t>
      </w:r>
      <w:proofErr w:type="spellEnd"/>
      <w:r w:rsidRPr="0009669D">
        <w:rPr>
          <w:rFonts w:eastAsia="Calibri" w:cs="Times New Roman"/>
          <w:lang w:val="en-GB"/>
        </w:rPr>
        <w:t xml:space="preserve"> del </w:t>
      </w:r>
      <w:proofErr w:type="spellStart"/>
      <w:r w:rsidRPr="0009669D">
        <w:rPr>
          <w:rFonts w:eastAsia="Calibri" w:cs="Times New Roman"/>
          <w:lang w:val="en-GB"/>
        </w:rPr>
        <w:t>desarrollo</w:t>
      </w:r>
      <w:proofErr w:type="spellEnd"/>
      <w:r w:rsidRPr="0009669D">
        <w:rPr>
          <w:rFonts w:eastAsia="Calibri" w:cs="Times New Roman"/>
          <w:lang w:val="en-GB"/>
        </w:rPr>
        <w:t>, 190(48), 61-82.</w:t>
      </w:r>
      <w:proofErr w:type="gramEnd"/>
    </w:p>
    <w:p w14:paraId="38550820" w14:textId="77777777" w:rsidR="00415057" w:rsidRPr="0009669D" w:rsidRDefault="00415057" w:rsidP="0070319D">
      <w:pPr>
        <w:spacing w:before="240" w:after="0"/>
        <w:ind w:left="708" w:hanging="708"/>
        <w:rPr>
          <w:rFonts w:eastAsia="Calibri" w:cs="Times New Roman"/>
          <w:lang w:val="en-GB"/>
        </w:rPr>
      </w:pPr>
      <w:proofErr w:type="spellStart"/>
      <w:r w:rsidRPr="0009669D">
        <w:rPr>
          <w:rFonts w:eastAsia="Calibri" w:cs="Times New Roman"/>
          <w:lang w:val="en-GB"/>
        </w:rPr>
        <w:t>Mukhopadhyay</w:t>
      </w:r>
      <w:proofErr w:type="spellEnd"/>
      <w:r w:rsidRPr="0009669D">
        <w:rPr>
          <w:rFonts w:eastAsia="Calibri" w:cs="Times New Roman"/>
          <w:lang w:val="en-GB"/>
        </w:rPr>
        <w:t xml:space="preserve">, A., &amp; </w:t>
      </w:r>
      <w:proofErr w:type="spellStart"/>
      <w:r w:rsidRPr="0009669D">
        <w:rPr>
          <w:rFonts w:eastAsia="Calibri" w:cs="Times New Roman"/>
          <w:lang w:val="en-GB"/>
        </w:rPr>
        <w:t>Amirkhalkhali</w:t>
      </w:r>
      <w:proofErr w:type="spellEnd"/>
      <w:r w:rsidRPr="0009669D">
        <w:rPr>
          <w:rFonts w:eastAsia="Calibri" w:cs="Times New Roman"/>
          <w:lang w:val="en-GB"/>
        </w:rPr>
        <w:t xml:space="preserve">, S. (2010). </w:t>
      </w:r>
      <w:proofErr w:type="gramStart"/>
      <w:r w:rsidRPr="0009669D">
        <w:rPr>
          <w:rFonts w:eastAsia="Calibri" w:cs="Times New Roman"/>
          <w:lang w:val="en-GB"/>
        </w:rPr>
        <w:t>Profitability performance and firm size-growth relationship.</w:t>
      </w:r>
      <w:proofErr w:type="gramEnd"/>
      <w:r w:rsidRPr="0009669D">
        <w:rPr>
          <w:rFonts w:eastAsia="Calibri" w:cs="Times New Roman"/>
          <w:lang w:val="en-GB"/>
        </w:rPr>
        <w:t xml:space="preserve"> </w:t>
      </w:r>
      <w:proofErr w:type="gramStart"/>
      <w:r w:rsidRPr="0009669D">
        <w:rPr>
          <w:rFonts w:eastAsia="Calibri" w:cs="Times New Roman"/>
          <w:lang w:val="en-GB"/>
        </w:rPr>
        <w:t>Journal of Business &amp; Economics Research, 8(9), 121.</w:t>
      </w:r>
      <w:proofErr w:type="gramEnd"/>
    </w:p>
    <w:p w14:paraId="31258D2A" w14:textId="77777777" w:rsidR="00415057" w:rsidRPr="0009669D" w:rsidRDefault="00415057" w:rsidP="0070319D">
      <w:pPr>
        <w:spacing w:before="240" w:after="0"/>
        <w:ind w:left="708" w:hanging="708"/>
        <w:rPr>
          <w:rFonts w:eastAsia="Calibri" w:cs="Times New Roman"/>
          <w:lang w:val="en-GB"/>
        </w:rPr>
      </w:pPr>
      <w:proofErr w:type="spellStart"/>
      <w:proofErr w:type="gramStart"/>
      <w:r w:rsidRPr="0009669D">
        <w:rPr>
          <w:rFonts w:eastAsia="Calibri" w:cs="Times New Roman"/>
          <w:lang w:val="en-GB"/>
        </w:rPr>
        <w:t>Nassar</w:t>
      </w:r>
      <w:proofErr w:type="spellEnd"/>
      <w:r w:rsidRPr="0009669D">
        <w:rPr>
          <w:rFonts w:eastAsia="Calibri" w:cs="Times New Roman"/>
          <w:lang w:val="en-GB"/>
        </w:rPr>
        <w:t xml:space="preserve">, I., </w:t>
      </w:r>
      <w:proofErr w:type="spellStart"/>
      <w:r w:rsidRPr="0009669D">
        <w:rPr>
          <w:rFonts w:eastAsia="Calibri" w:cs="Times New Roman"/>
          <w:lang w:val="en-GB"/>
        </w:rPr>
        <w:t>Almasafir</w:t>
      </w:r>
      <w:proofErr w:type="spellEnd"/>
      <w:r w:rsidRPr="0009669D">
        <w:rPr>
          <w:rFonts w:eastAsia="Calibri" w:cs="Times New Roman"/>
          <w:lang w:val="en-GB"/>
        </w:rPr>
        <w:t>, M., &amp; Al-</w:t>
      </w:r>
      <w:proofErr w:type="spellStart"/>
      <w:r w:rsidRPr="0009669D">
        <w:rPr>
          <w:rFonts w:eastAsia="Calibri" w:cs="Times New Roman"/>
          <w:lang w:val="en-GB"/>
        </w:rPr>
        <w:t>Mahrouq</w:t>
      </w:r>
      <w:proofErr w:type="spellEnd"/>
      <w:r w:rsidRPr="0009669D">
        <w:rPr>
          <w:rFonts w:eastAsia="Calibri" w:cs="Times New Roman"/>
          <w:lang w:val="en-GB"/>
        </w:rPr>
        <w:t>, M. (2014).</w:t>
      </w:r>
      <w:proofErr w:type="gramEnd"/>
      <w:r w:rsidRPr="0009669D">
        <w:rPr>
          <w:rFonts w:eastAsia="Calibri" w:cs="Times New Roman"/>
          <w:lang w:val="en-GB"/>
        </w:rPr>
        <w:t xml:space="preserve"> The validity of Gibrat's law in developed and developing countries (2008-2013): Comparison Based Assessment. </w:t>
      </w:r>
      <w:proofErr w:type="spellStart"/>
      <w:r w:rsidRPr="0009669D">
        <w:rPr>
          <w:rFonts w:eastAsia="Calibri" w:cs="Times New Roman"/>
          <w:lang w:val="en-GB"/>
        </w:rPr>
        <w:t>Procedia</w:t>
      </w:r>
      <w:proofErr w:type="spellEnd"/>
      <w:r w:rsidRPr="0009669D">
        <w:rPr>
          <w:rFonts w:eastAsia="Calibri" w:cs="Times New Roman"/>
          <w:lang w:val="en-GB"/>
        </w:rPr>
        <w:t xml:space="preserve"> Social and </w:t>
      </w:r>
      <w:proofErr w:type="spellStart"/>
      <w:r w:rsidRPr="0009669D">
        <w:rPr>
          <w:rFonts w:eastAsia="Calibri" w:cs="Times New Roman"/>
          <w:lang w:val="en-GB"/>
        </w:rPr>
        <w:t>Behavioral</w:t>
      </w:r>
      <w:proofErr w:type="spellEnd"/>
      <w:r w:rsidRPr="0009669D">
        <w:rPr>
          <w:rFonts w:eastAsia="Calibri" w:cs="Times New Roman"/>
          <w:lang w:val="en-GB"/>
        </w:rPr>
        <w:t xml:space="preserve"> Sciences, 129, 266–273.</w:t>
      </w:r>
    </w:p>
    <w:p w14:paraId="4B70D2BF" w14:textId="4D93A038" w:rsidR="00415057" w:rsidRPr="001461CC" w:rsidRDefault="00415057" w:rsidP="0070319D">
      <w:pPr>
        <w:spacing w:before="240"/>
        <w:ind w:left="708" w:hanging="708"/>
        <w:rPr>
          <w:rFonts w:eastAsia="Calibri" w:cs="Times New Roman"/>
          <w:lang w:val="pt-PT"/>
        </w:rPr>
      </w:pPr>
      <w:r w:rsidRPr="0009669D">
        <w:rPr>
          <w:rFonts w:eastAsia="Calibri" w:cs="Times New Roman"/>
          <w:lang w:val="en-GB"/>
        </w:rPr>
        <w:t xml:space="preserve">Oliveira, B., &amp; Fortunato, A. (2003). Testing </w:t>
      </w:r>
      <w:proofErr w:type="spellStart"/>
      <w:r w:rsidRPr="0009669D">
        <w:rPr>
          <w:rFonts w:eastAsia="Calibri" w:cs="Times New Roman"/>
          <w:lang w:val="en-GB"/>
        </w:rPr>
        <w:t>Gibrat's</w:t>
      </w:r>
      <w:proofErr w:type="spellEnd"/>
      <w:r w:rsidRPr="0009669D">
        <w:rPr>
          <w:rFonts w:eastAsia="Calibri" w:cs="Times New Roman"/>
          <w:lang w:val="en-GB"/>
        </w:rPr>
        <w:t xml:space="preserve"> Law: Empirical </w:t>
      </w:r>
      <w:proofErr w:type="spellStart"/>
      <w:r w:rsidRPr="0009669D">
        <w:rPr>
          <w:rFonts w:eastAsia="Calibri" w:cs="Times New Roman"/>
          <w:lang w:val="en-GB"/>
        </w:rPr>
        <w:t>Evidende</w:t>
      </w:r>
      <w:proofErr w:type="spellEnd"/>
      <w:r w:rsidRPr="0009669D">
        <w:rPr>
          <w:rFonts w:eastAsia="Calibri" w:cs="Times New Roman"/>
          <w:lang w:val="en-GB"/>
        </w:rPr>
        <w:t xml:space="preserve"> from a Panel of Portuguese Manufacturing Firms. </w:t>
      </w:r>
      <w:r w:rsidRPr="001461CC">
        <w:rPr>
          <w:rFonts w:eastAsia="Calibri" w:cs="Times New Roman"/>
          <w:lang w:val="pt-PT"/>
        </w:rPr>
        <w:t>FEUC. Grupo de Estudos Monetários e Financeiros</w:t>
      </w:r>
    </w:p>
    <w:p w14:paraId="4251B61D"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pt-PT"/>
        </w:rPr>
        <w:t xml:space="preserve">Pagano, P., &amp; Schivardi, F. (2003). </w:t>
      </w:r>
      <w:r w:rsidRPr="0009669D">
        <w:rPr>
          <w:rFonts w:eastAsia="Calibri" w:cs="Times New Roman"/>
          <w:lang w:val="en-GB"/>
        </w:rPr>
        <w:t xml:space="preserve">Firm size distribution and growth. The </w:t>
      </w:r>
      <w:proofErr w:type="spellStart"/>
      <w:r w:rsidRPr="0009669D">
        <w:rPr>
          <w:rFonts w:eastAsia="Calibri" w:cs="Times New Roman"/>
          <w:lang w:val="en-GB"/>
        </w:rPr>
        <w:t>Scansinavian</w:t>
      </w:r>
      <w:proofErr w:type="spellEnd"/>
      <w:r w:rsidRPr="0009669D">
        <w:rPr>
          <w:rFonts w:eastAsia="Calibri" w:cs="Times New Roman"/>
          <w:lang w:val="en-GB"/>
        </w:rPr>
        <w:t xml:space="preserve"> Journal of Economics, 105(2), 255-274.</w:t>
      </w:r>
    </w:p>
    <w:p w14:paraId="53C45060" w14:textId="77777777" w:rsidR="00415057" w:rsidRPr="00CB7626" w:rsidRDefault="00415057" w:rsidP="0070319D">
      <w:pPr>
        <w:spacing w:before="240" w:after="0"/>
        <w:ind w:left="708" w:hanging="708"/>
        <w:rPr>
          <w:rFonts w:eastAsia="Calibri" w:cs="Times New Roman"/>
          <w:lang w:val="es-ES"/>
        </w:rPr>
      </w:pPr>
      <w:r w:rsidRPr="0009669D">
        <w:rPr>
          <w:rFonts w:eastAsia="Calibri" w:cs="Times New Roman"/>
          <w:lang w:val="en-GB"/>
        </w:rPr>
        <w:t xml:space="preserve">Piergiovanni, R. (2010). Gibrat's Law in the "Third Italy": Firm Growth in the Veneto Region. </w:t>
      </w:r>
      <w:proofErr w:type="spellStart"/>
      <w:r w:rsidRPr="00CB7626">
        <w:rPr>
          <w:rFonts w:eastAsia="Calibri" w:cs="Times New Roman"/>
          <w:lang w:val="es-ES"/>
        </w:rPr>
        <w:t>Growth</w:t>
      </w:r>
      <w:proofErr w:type="spellEnd"/>
      <w:r w:rsidRPr="00CB7626">
        <w:rPr>
          <w:rFonts w:eastAsia="Calibri" w:cs="Times New Roman"/>
          <w:lang w:val="es-ES"/>
        </w:rPr>
        <w:t xml:space="preserve"> and </w:t>
      </w:r>
      <w:proofErr w:type="spellStart"/>
      <w:r w:rsidRPr="00CB7626">
        <w:rPr>
          <w:rFonts w:eastAsia="Calibri" w:cs="Times New Roman"/>
          <w:lang w:val="es-ES"/>
        </w:rPr>
        <w:t>Change</w:t>
      </w:r>
      <w:proofErr w:type="spellEnd"/>
      <w:r w:rsidRPr="00CB7626">
        <w:rPr>
          <w:rFonts w:eastAsia="Calibri" w:cs="Times New Roman"/>
          <w:lang w:val="es-ES"/>
        </w:rPr>
        <w:t>, 41(1), 25-58.</w:t>
      </w:r>
    </w:p>
    <w:p w14:paraId="2D4C448C" w14:textId="77777777" w:rsidR="00415057" w:rsidRPr="001461CC" w:rsidRDefault="00415057" w:rsidP="0070319D">
      <w:pPr>
        <w:spacing w:before="240" w:after="0"/>
        <w:ind w:left="708" w:hanging="708"/>
        <w:rPr>
          <w:rFonts w:eastAsia="Calibri" w:cs="Times New Roman"/>
          <w:lang w:val="es-ES"/>
        </w:rPr>
      </w:pPr>
      <w:proofErr w:type="spellStart"/>
      <w:r w:rsidRPr="001461CC">
        <w:rPr>
          <w:rFonts w:eastAsia="Calibri" w:cs="Times New Roman"/>
          <w:lang w:val="es-ES"/>
        </w:rPr>
        <w:lastRenderedPageBreak/>
        <w:t>Ripollés</w:t>
      </w:r>
      <w:proofErr w:type="spellEnd"/>
      <w:r w:rsidRPr="001461CC">
        <w:rPr>
          <w:rFonts w:eastAsia="Calibri" w:cs="Times New Roman"/>
          <w:lang w:val="es-ES"/>
        </w:rPr>
        <w:t xml:space="preserve">, M., &amp; </w:t>
      </w:r>
      <w:proofErr w:type="spellStart"/>
      <w:r w:rsidRPr="001461CC">
        <w:rPr>
          <w:rFonts w:eastAsia="Calibri" w:cs="Times New Roman"/>
          <w:lang w:val="es-ES"/>
        </w:rPr>
        <w:t>Menguzzato</w:t>
      </w:r>
      <w:proofErr w:type="spellEnd"/>
      <w:r w:rsidRPr="001461CC">
        <w:rPr>
          <w:rFonts w:eastAsia="Calibri" w:cs="Times New Roman"/>
          <w:lang w:val="es-ES"/>
        </w:rPr>
        <w:t>, M. (2001). La importancia del empresario en el crecimiento de las PYMEs: Una aplicación al sector de la cerámica española. Investigaciones europeas de dirección y economía de la empresa, 7(1), 87-98.</w:t>
      </w:r>
    </w:p>
    <w:p w14:paraId="16EDCD7A" w14:textId="77777777" w:rsidR="00415057" w:rsidRPr="0009669D" w:rsidRDefault="00415057" w:rsidP="0070319D">
      <w:pPr>
        <w:spacing w:before="240" w:after="0"/>
        <w:ind w:left="708" w:hanging="708"/>
        <w:rPr>
          <w:rFonts w:eastAsia="Calibri" w:cs="Times New Roman"/>
          <w:lang w:val="en-GB"/>
        </w:rPr>
      </w:pPr>
      <w:proofErr w:type="spellStart"/>
      <w:r w:rsidRPr="00CB7626">
        <w:rPr>
          <w:rFonts w:eastAsia="Calibri" w:cs="Times New Roman"/>
          <w:lang w:val="es-ES"/>
        </w:rPr>
        <w:t>Segarra</w:t>
      </w:r>
      <w:proofErr w:type="spellEnd"/>
      <w:r w:rsidRPr="00CB7626">
        <w:rPr>
          <w:rFonts w:eastAsia="Calibri" w:cs="Times New Roman"/>
          <w:lang w:val="es-ES"/>
        </w:rPr>
        <w:t>, A., &amp; Teruel, M. (2014). High-</w:t>
      </w:r>
      <w:proofErr w:type="spellStart"/>
      <w:r w:rsidRPr="00CB7626">
        <w:rPr>
          <w:rFonts w:eastAsia="Calibri" w:cs="Times New Roman"/>
          <w:lang w:val="es-ES"/>
        </w:rPr>
        <w:t>growth</w:t>
      </w:r>
      <w:proofErr w:type="spellEnd"/>
      <w:r w:rsidRPr="00CB7626">
        <w:rPr>
          <w:rFonts w:eastAsia="Calibri" w:cs="Times New Roman"/>
          <w:lang w:val="es-ES"/>
        </w:rPr>
        <w:t xml:space="preserve"> </w:t>
      </w:r>
      <w:proofErr w:type="spellStart"/>
      <w:r w:rsidRPr="00CB7626">
        <w:rPr>
          <w:rFonts w:eastAsia="Calibri" w:cs="Times New Roman"/>
          <w:lang w:val="es-ES"/>
        </w:rPr>
        <w:t>firms</w:t>
      </w:r>
      <w:proofErr w:type="spellEnd"/>
      <w:r w:rsidRPr="00CB7626">
        <w:rPr>
          <w:rFonts w:eastAsia="Calibri" w:cs="Times New Roman"/>
          <w:lang w:val="es-ES"/>
        </w:rPr>
        <w:t xml:space="preserve"> and </w:t>
      </w:r>
      <w:proofErr w:type="spellStart"/>
      <w:r w:rsidRPr="00CB7626">
        <w:rPr>
          <w:rFonts w:eastAsia="Calibri" w:cs="Times New Roman"/>
          <w:lang w:val="es-ES"/>
        </w:rPr>
        <w:t>innovation</w:t>
      </w:r>
      <w:proofErr w:type="spellEnd"/>
      <w:r w:rsidRPr="00CB7626">
        <w:rPr>
          <w:rFonts w:eastAsia="Calibri" w:cs="Times New Roman"/>
          <w:lang w:val="es-ES"/>
        </w:rPr>
        <w:t xml:space="preserve">: </w:t>
      </w:r>
      <w:proofErr w:type="spellStart"/>
      <w:r w:rsidRPr="00CB7626">
        <w:rPr>
          <w:rFonts w:eastAsia="Calibri" w:cs="Times New Roman"/>
          <w:lang w:val="es-ES"/>
        </w:rPr>
        <w:t>an</w:t>
      </w:r>
      <w:proofErr w:type="spellEnd"/>
      <w:r w:rsidRPr="00CB7626">
        <w:rPr>
          <w:rFonts w:eastAsia="Calibri" w:cs="Times New Roman"/>
          <w:lang w:val="es-ES"/>
        </w:rPr>
        <w:t xml:space="preserve"> </w:t>
      </w:r>
      <w:proofErr w:type="spellStart"/>
      <w:r w:rsidRPr="00CB7626">
        <w:rPr>
          <w:rFonts w:eastAsia="Calibri" w:cs="Times New Roman"/>
          <w:lang w:val="es-ES"/>
        </w:rPr>
        <w:t>empirical</w:t>
      </w:r>
      <w:proofErr w:type="spellEnd"/>
      <w:r w:rsidRPr="00CB7626">
        <w:rPr>
          <w:rFonts w:eastAsia="Calibri" w:cs="Times New Roman"/>
          <w:lang w:val="es-ES"/>
        </w:rPr>
        <w:t xml:space="preserve"> </w:t>
      </w:r>
      <w:proofErr w:type="spellStart"/>
      <w:r w:rsidRPr="00CB7626">
        <w:rPr>
          <w:rFonts w:eastAsia="Calibri" w:cs="Times New Roman"/>
          <w:lang w:val="es-ES"/>
        </w:rPr>
        <w:t>analysis</w:t>
      </w:r>
      <w:proofErr w:type="spellEnd"/>
      <w:r w:rsidRPr="00CB7626">
        <w:rPr>
          <w:rFonts w:eastAsia="Calibri" w:cs="Times New Roman"/>
          <w:lang w:val="es-ES"/>
        </w:rPr>
        <w:t xml:space="preserve"> </w:t>
      </w:r>
      <w:proofErr w:type="spellStart"/>
      <w:r w:rsidRPr="00CB7626">
        <w:rPr>
          <w:rFonts w:eastAsia="Calibri" w:cs="Times New Roman"/>
          <w:lang w:val="es-ES"/>
        </w:rPr>
        <w:t>for</w:t>
      </w:r>
      <w:proofErr w:type="spellEnd"/>
      <w:r w:rsidRPr="00CB7626">
        <w:rPr>
          <w:rFonts w:eastAsia="Calibri" w:cs="Times New Roman"/>
          <w:lang w:val="es-ES"/>
        </w:rPr>
        <w:t xml:space="preserve"> </w:t>
      </w:r>
      <w:proofErr w:type="spellStart"/>
      <w:r w:rsidRPr="00CB7626">
        <w:rPr>
          <w:rFonts w:eastAsia="Calibri" w:cs="Times New Roman"/>
          <w:lang w:val="es-ES"/>
        </w:rPr>
        <w:t>Spanish</w:t>
      </w:r>
      <w:proofErr w:type="spellEnd"/>
      <w:r w:rsidRPr="00CB7626">
        <w:rPr>
          <w:rFonts w:eastAsia="Calibri" w:cs="Times New Roman"/>
          <w:lang w:val="es-ES"/>
        </w:rPr>
        <w:t xml:space="preserve"> </w:t>
      </w:r>
      <w:proofErr w:type="spellStart"/>
      <w:r w:rsidRPr="00CB7626">
        <w:rPr>
          <w:rFonts w:eastAsia="Calibri" w:cs="Times New Roman"/>
          <w:lang w:val="es-ES"/>
        </w:rPr>
        <w:t>firms</w:t>
      </w:r>
      <w:proofErr w:type="spellEnd"/>
      <w:r w:rsidRPr="00CB7626">
        <w:rPr>
          <w:rFonts w:eastAsia="Calibri" w:cs="Times New Roman"/>
          <w:lang w:val="es-ES"/>
        </w:rPr>
        <w:t xml:space="preserve">. </w:t>
      </w:r>
      <w:r w:rsidRPr="0009669D">
        <w:rPr>
          <w:rFonts w:eastAsia="Calibri" w:cs="Times New Roman"/>
          <w:lang w:val="en-GB"/>
        </w:rPr>
        <w:t>Small Business Economics, 43(4), 805-821.</w:t>
      </w:r>
    </w:p>
    <w:p w14:paraId="3BF08D13" w14:textId="77777777" w:rsidR="00415057" w:rsidRPr="0009669D" w:rsidRDefault="00415057" w:rsidP="0070319D">
      <w:pPr>
        <w:spacing w:before="240" w:after="0"/>
        <w:ind w:left="708" w:hanging="708"/>
        <w:rPr>
          <w:rFonts w:eastAsia="Calibri" w:cs="Times New Roman"/>
          <w:lang w:val="en-GB"/>
        </w:rPr>
      </w:pPr>
      <w:r w:rsidRPr="001461CC">
        <w:rPr>
          <w:rFonts w:eastAsia="Calibri" w:cs="Times New Roman"/>
          <w:lang w:val="pt-PT"/>
        </w:rPr>
        <w:t xml:space="preserve">Serrasqueiro, Z., Nunes, P. M., Leitão, J., &amp; Armada, M. (2010). </w:t>
      </w:r>
      <w:r w:rsidRPr="0009669D">
        <w:rPr>
          <w:rFonts w:eastAsia="Calibri" w:cs="Times New Roman"/>
          <w:lang w:val="en-GB"/>
        </w:rPr>
        <w:t>Are there non-</w:t>
      </w:r>
      <w:proofErr w:type="spellStart"/>
      <w:r w:rsidRPr="0009669D">
        <w:rPr>
          <w:rFonts w:eastAsia="Calibri" w:cs="Times New Roman"/>
          <w:lang w:val="en-GB"/>
        </w:rPr>
        <w:t>linearities</w:t>
      </w:r>
      <w:proofErr w:type="spellEnd"/>
      <w:r w:rsidRPr="0009669D">
        <w:rPr>
          <w:rFonts w:eastAsia="Calibri" w:cs="Times New Roman"/>
          <w:lang w:val="en-GB"/>
        </w:rPr>
        <w:t xml:space="preserve"> between SME growth and its determinants? </w:t>
      </w:r>
      <w:proofErr w:type="gramStart"/>
      <w:r w:rsidRPr="0009669D">
        <w:rPr>
          <w:rFonts w:eastAsia="Calibri" w:cs="Times New Roman"/>
          <w:lang w:val="en-GB"/>
        </w:rPr>
        <w:t>A quantile approach.</w:t>
      </w:r>
      <w:proofErr w:type="gramEnd"/>
      <w:r w:rsidRPr="0009669D">
        <w:rPr>
          <w:rFonts w:eastAsia="Calibri" w:cs="Times New Roman"/>
          <w:lang w:val="en-GB"/>
        </w:rPr>
        <w:t xml:space="preserve"> Industrial and Corporate Change, 19(4), 1071-1108.</w:t>
      </w:r>
    </w:p>
    <w:p w14:paraId="1660DDE2" w14:textId="77777777" w:rsidR="00415057" w:rsidRPr="00CB7626" w:rsidRDefault="00415057" w:rsidP="0070319D">
      <w:pPr>
        <w:spacing w:before="240" w:after="0"/>
        <w:ind w:left="708" w:hanging="708"/>
        <w:rPr>
          <w:rFonts w:eastAsia="Calibri" w:cs="Times New Roman"/>
          <w:lang w:val="es-ES"/>
        </w:rPr>
      </w:pPr>
      <w:r w:rsidRPr="00CB7626">
        <w:rPr>
          <w:rFonts w:eastAsia="Calibri" w:cs="Times New Roman"/>
          <w:lang w:val="es-ES"/>
        </w:rPr>
        <w:t xml:space="preserve">Simbaña, L., Rodríguez, M., &amp; </w:t>
      </w:r>
      <w:proofErr w:type="spellStart"/>
      <w:r w:rsidRPr="00CB7626">
        <w:rPr>
          <w:rFonts w:eastAsia="Calibri" w:cs="Times New Roman"/>
          <w:lang w:val="es-ES"/>
        </w:rPr>
        <w:t>Rodeiro</w:t>
      </w:r>
      <w:proofErr w:type="spellEnd"/>
      <w:r w:rsidRPr="00CB7626">
        <w:rPr>
          <w:rFonts w:eastAsia="Calibri" w:cs="Times New Roman"/>
          <w:lang w:val="es-ES"/>
        </w:rPr>
        <w:t xml:space="preserve">, D. (2017). </w:t>
      </w:r>
      <w:proofErr w:type="gramStart"/>
      <w:r w:rsidRPr="0009669D">
        <w:rPr>
          <w:rFonts w:eastAsia="Calibri" w:cs="Times New Roman"/>
          <w:lang w:val="en-GB"/>
        </w:rPr>
        <w:t>Growth determinants in Ecuadorian companies.</w:t>
      </w:r>
      <w:proofErr w:type="gramEnd"/>
      <w:r w:rsidRPr="0009669D">
        <w:rPr>
          <w:rFonts w:eastAsia="Calibri" w:cs="Times New Roman"/>
          <w:lang w:val="en-GB"/>
        </w:rPr>
        <w:t xml:space="preserve"> </w:t>
      </w:r>
      <w:proofErr w:type="spellStart"/>
      <w:r w:rsidRPr="00CB7626">
        <w:rPr>
          <w:rFonts w:eastAsia="Calibri" w:cs="Times New Roman"/>
          <w:lang w:val="es-ES"/>
        </w:rPr>
        <w:t>European</w:t>
      </w:r>
      <w:proofErr w:type="spellEnd"/>
      <w:r w:rsidRPr="00CB7626">
        <w:rPr>
          <w:rFonts w:eastAsia="Calibri" w:cs="Times New Roman"/>
          <w:lang w:val="es-ES"/>
        </w:rPr>
        <w:t xml:space="preserve"> </w:t>
      </w:r>
      <w:proofErr w:type="spellStart"/>
      <w:r w:rsidRPr="00CB7626">
        <w:rPr>
          <w:rFonts w:eastAsia="Calibri" w:cs="Times New Roman"/>
          <w:lang w:val="es-ES"/>
        </w:rPr>
        <w:t>Journal</w:t>
      </w:r>
      <w:proofErr w:type="spellEnd"/>
      <w:r w:rsidRPr="00CB7626">
        <w:rPr>
          <w:rFonts w:eastAsia="Calibri" w:cs="Times New Roman"/>
          <w:lang w:val="es-ES"/>
        </w:rPr>
        <w:t xml:space="preserve"> of </w:t>
      </w:r>
      <w:proofErr w:type="spellStart"/>
      <w:r w:rsidRPr="00CB7626">
        <w:rPr>
          <w:rFonts w:eastAsia="Calibri" w:cs="Times New Roman"/>
          <w:lang w:val="es-ES"/>
        </w:rPr>
        <w:t>Applied</w:t>
      </w:r>
      <w:proofErr w:type="spellEnd"/>
      <w:r w:rsidRPr="00CB7626">
        <w:rPr>
          <w:rFonts w:eastAsia="Calibri" w:cs="Times New Roman"/>
          <w:lang w:val="es-ES"/>
        </w:rPr>
        <w:t xml:space="preserve"> Business Management, 3(3), 120-135.</w:t>
      </w:r>
    </w:p>
    <w:p w14:paraId="1D2CE19F" w14:textId="77777777" w:rsidR="00415057" w:rsidRPr="001461CC" w:rsidRDefault="00415057" w:rsidP="0070319D">
      <w:pPr>
        <w:spacing w:before="240" w:after="0"/>
        <w:ind w:left="708" w:hanging="708"/>
        <w:rPr>
          <w:rFonts w:eastAsia="Calibri" w:cs="Times New Roman"/>
          <w:lang w:val="es-ES"/>
        </w:rPr>
      </w:pPr>
      <w:r w:rsidRPr="001461CC">
        <w:rPr>
          <w:rFonts w:eastAsia="Calibri" w:cs="Times New Roman"/>
          <w:lang w:val="es-ES"/>
        </w:rPr>
        <w:t>Velásquez, F. (2004). La estrategia, la estructura y las formas de asociación: fuentes de ventaja competitiva para las pymes colombianas. Estudios gerenciales, 20(93), 73-97.</w:t>
      </w:r>
    </w:p>
    <w:p w14:paraId="5DD86548" w14:textId="77777777" w:rsidR="00415057" w:rsidRPr="00CB7626" w:rsidRDefault="00415057" w:rsidP="0070319D">
      <w:pPr>
        <w:spacing w:before="240" w:after="0"/>
        <w:ind w:left="708" w:hanging="708"/>
        <w:rPr>
          <w:rFonts w:eastAsia="Calibri" w:cs="Times New Roman"/>
          <w:lang w:val="es-ES"/>
        </w:rPr>
      </w:pPr>
      <w:proofErr w:type="spellStart"/>
      <w:r w:rsidRPr="001461CC">
        <w:rPr>
          <w:rFonts w:eastAsia="Calibri" w:cs="Times New Roman"/>
          <w:lang w:val="es-ES"/>
        </w:rPr>
        <w:t>Vicéns</w:t>
      </w:r>
      <w:proofErr w:type="spellEnd"/>
      <w:r w:rsidRPr="001461CC">
        <w:rPr>
          <w:rFonts w:eastAsia="Calibri" w:cs="Times New Roman"/>
          <w:lang w:val="es-ES"/>
        </w:rPr>
        <w:t xml:space="preserve">, J., &amp; Sánchez, B. (2012). Regresión cuantílica: estimación y contrastes. </w:t>
      </w:r>
      <w:proofErr w:type="spellStart"/>
      <w:r w:rsidRPr="00CB7626">
        <w:rPr>
          <w:rFonts w:eastAsia="Calibri" w:cs="Times New Roman"/>
          <w:lang w:val="es-ES"/>
        </w:rPr>
        <w:t>Instituro</w:t>
      </w:r>
      <w:proofErr w:type="spellEnd"/>
      <w:r w:rsidRPr="00CB7626">
        <w:rPr>
          <w:rFonts w:eastAsia="Calibri" w:cs="Times New Roman"/>
          <w:lang w:val="es-ES"/>
        </w:rPr>
        <w:t xml:space="preserve"> L.R. Klein (21).</w:t>
      </w:r>
    </w:p>
    <w:p w14:paraId="51B250CC" w14:textId="77777777" w:rsidR="00415057" w:rsidRPr="001461CC" w:rsidRDefault="00415057" w:rsidP="0070319D">
      <w:pPr>
        <w:spacing w:before="240" w:after="0"/>
        <w:ind w:left="708" w:hanging="708"/>
        <w:rPr>
          <w:rFonts w:eastAsia="Calibri" w:cs="Times New Roman"/>
          <w:lang w:val="es-ES"/>
        </w:rPr>
      </w:pPr>
      <w:r w:rsidRPr="001461CC">
        <w:rPr>
          <w:rFonts w:eastAsia="Calibri" w:cs="Times New Roman"/>
          <w:lang w:val="es-ES"/>
        </w:rPr>
        <w:t xml:space="preserve">Zapata, E. (2004). Las pymes y su problemática empresarial. Análisis de casos. </w:t>
      </w:r>
      <w:proofErr w:type="spellStart"/>
      <w:r w:rsidRPr="001461CC">
        <w:rPr>
          <w:rFonts w:eastAsia="Calibri" w:cs="Times New Roman"/>
          <w:lang w:val="es-ES"/>
        </w:rPr>
        <w:t>Investigacion</w:t>
      </w:r>
      <w:proofErr w:type="spellEnd"/>
      <w:r w:rsidRPr="001461CC">
        <w:rPr>
          <w:rFonts w:eastAsia="Calibri" w:cs="Times New Roman"/>
          <w:lang w:val="es-ES"/>
        </w:rPr>
        <w:t xml:space="preserve"> en </w:t>
      </w:r>
      <w:proofErr w:type="spellStart"/>
      <w:r w:rsidRPr="001461CC">
        <w:rPr>
          <w:rFonts w:eastAsia="Calibri" w:cs="Times New Roman"/>
          <w:lang w:val="es-ES"/>
        </w:rPr>
        <w:t>Administracion</w:t>
      </w:r>
      <w:proofErr w:type="spellEnd"/>
      <w:r w:rsidRPr="001461CC">
        <w:rPr>
          <w:rFonts w:eastAsia="Calibri" w:cs="Times New Roman"/>
          <w:lang w:val="es-ES"/>
        </w:rPr>
        <w:t xml:space="preserve"> en </w:t>
      </w:r>
      <w:proofErr w:type="spellStart"/>
      <w:r w:rsidRPr="001461CC">
        <w:rPr>
          <w:rFonts w:eastAsia="Calibri" w:cs="Times New Roman"/>
          <w:lang w:val="es-ES"/>
        </w:rPr>
        <w:t>America</w:t>
      </w:r>
      <w:proofErr w:type="spellEnd"/>
      <w:r w:rsidRPr="001461CC">
        <w:rPr>
          <w:rFonts w:eastAsia="Calibri" w:cs="Times New Roman"/>
          <w:lang w:val="es-ES"/>
        </w:rPr>
        <w:t xml:space="preserve"> Latina, 296.</w:t>
      </w:r>
    </w:p>
    <w:p w14:paraId="0D78E5B1" w14:textId="721060CF" w:rsidR="0004654D" w:rsidRPr="001461CC" w:rsidRDefault="00415057" w:rsidP="0070319D">
      <w:pPr>
        <w:tabs>
          <w:tab w:val="left" w:pos="1950"/>
        </w:tabs>
        <w:rPr>
          <w:rFonts w:eastAsia="Calibri" w:cs="Times New Roman"/>
          <w:lang w:val="es-ES"/>
        </w:rPr>
      </w:pPr>
      <w:r w:rsidRPr="001461CC">
        <w:rPr>
          <w:rFonts w:eastAsia="Calibri" w:cs="Times New Roman"/>
          <w:lang w:val="es-ES"/>
        </w:rPr>
        <w:tab/>
      </w:r>
    </w:p>
    <w:sectPr w:rsidR="0004654D" w:rsidRPr="001461CC" w:rsidSect="00D11B91">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FC266" w14:textId="77777777" w:rsidR="0030305F" w:rsidRDefault="0030305F">
      <w:pPr>
        <w:spacing w:after="0"/>
      </w:pPr>
      <w:r>
        <w:separator/>
      </w:r>
    </w:p>
  </w:endnote>
  <w:endnote w:type="continuationSeparator" w:id="0">
    <w:p w14:paraId="2FE6D4F6" w14:textId="77777777" w:rsidR="0030305F" w:rsidRDefault="003030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89691"/>
      <w:docPartObj>
        <w:docPartGallery w:val="Page Numbers (Bottom of Page)"/>
        <w:docPartUnique/>
      </w:docPartObj>
    </w:sdtPr>
    <w:sdtEndPr/>
    <w:sdtContent>
      <w:p w14:paraId="6E332C66" w14:textId="79022477" w:rsidR="0070319D" w:rsidRDefault="0070319D" w:rsidP="000F0323">
        <w:pPr>
          <w:pStyle w:val="Piedepgina"/>
          <w:jc w:val="center"/>
        </w:pPr>
        <w:r>
          <w:fldChar w:fldCharType="begin"/>
        </w:r>
        <w:r>
          <w:instrText>PAGE   \* MERGEFORMAT</w:instrText>
        </w:r>
        <w:r>
          <w:fldChar w:fldCharType="separate"/>
        </w:r>
        <w:r w:rsidR="002D5BE5" w:rsidRPr="002D5BE5">
          <w:rPr>
            <w:noProof/>
            <w:lang w:val="es-ES"/>
          </w:rPr>
          <w:t>1</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D6AAF" w14:textId="77777777" w:rsidR="0030305F" w:rsidRDefault="0030305F">
      <w:pPr>
        <w:spacing w:after="0"/>
      </w:pPr>
      <w:r>
        <w:separator/>
      </w:r>
    </w:p>
  </w:footnote>
  <w:footnote w:type="continuationSeparator" w:id="0">
    <w:p w14:paraId="5B60FA98" w14:textId="77777777" w:rsidR="0030305F" w:rsidRDefault="0030305F">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6B8A"/>
    <w:multiLevelType w:val="hybridMultilevel"/>
    <w:tmpl w:val="B03A121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E473DDE"/>
    <w:multiLevelType w:val="multilevel"/>
    <w:tmpl w:val="382C60BE"/>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207551FA"/>
    <w:multiLevelType w:val="multilevel"/>
    <w:tmpl w:val="423C63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392AD8"/>
    <w:multiLevelType w:val="hybridMultilevel"/>
    <w:tmpl w:val="0CF8CEA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1633A9"/>
    <w:multiLevelType w:val="multilevel"/>
    <w:tmpl w:val="27DC7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0E5CC2"/>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595693"/>
    <w:multiLevelType w:val="hybridMultilevel"/>
    <w:tmpl w:val="F6F4B210"/>
    <w:lvl w:ilvl="0" w:tplc="517EE3F0">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
    <w:nsid w:val="2F3822A3"/>
    <w:multiLevelType w:val="multilevel"/>
    <w:tmpl w:val="0E820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54736A"/>
    <w:multiLevelType w:val="hybridMultilevel"/>
    <w:tmpl w:val="D0000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4C406C"/>
    <w:multiLevelType w:val="hybridMultilevel"/>
    <w:tmpl w:val="80408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AF4703"/>
    <w:multiLevelType w:val="hybridMultilevel"/>
    <w:tmpl w:val="31ACDC4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CCD2919"/>
    <w:multiLevelType w:val="multilevel"/>
    <w:tmpl w:val="CB7838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6EE3379"/>
    <w:multiLevelType w:val="multilevel"/>
    <w:tmpl w:val="B094A4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2A673D"/>
    <w:multiLevelType w:val="hybridMultilevel"/>
    <w:tmpl w:val="4E1294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A250DA2"/>
    <w:multiLevelType w:val="hybridMultilevel"/>
    <w:tmpl w:val="A754BF4E"/>
    <w:lvl w:ilvl="0" w:tplc="B624115A">
      <w:start w:val="1"/>
      <w:numFmt w:val="decimal"/>
      <w:lvlText w:val="%1."/>
      <w:lvlJc w:val="left"/>
      <w:pPr>
        <w:ind w:left="1068" w:hanging="360"/>
      </w:pPr>
      <w:rPr>
        <w:rFonts w:eastAsiaTheme="minorEastAsia"/>
        <w:sz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5A401E61"/>
    <w:multiLevelType w:val="hybridMultilevel"/>
    <w:tmpl w:val="4FBE8362"/>
    <w:lvl w:ilvl="0" w:tplc="B8508E54">
      <w:start w:val="1"/>
      <w:numFmt w:val="bullet"/>
      <w:lvlText w:val="•"/>
      <w:lvlJc w:val="left"/>
      <w:pPr>
        <w:tabs>
          <w:tab w:val="num" w:pos="720"/>
        </w:tabs>
        <w:ind w:left="720" w:hanging="360"/>
      </w:pPr>
      <w:rPr>
        <w:rFonts w:ascii="Times New Roman" w:hAnsi="Times New Roman" w:hint="default"/>
      </w:rPr>
    </w:lvl>
    <w:lvl w:ilvl="1" w:tplc="AAF4D578" w:tentative="1">
      <w:start w:val="1"/>
      <w:numFmt w:val="bullet"/>
      <w:lvlText w:val="•"/>
      <w:lvlJc w:val="left"/>
      <w:pPr>
        <w:tabs>
          <w:tab w:val="num" w:pos="1440"/>
        </w:tabs>
        <w:ind w:left="1440" w:hanging="360"/>
      </w:pPr>
      <w:rPr>
        <w:rFonts w:ascii="Times New Roman" w:hAnsi="Times New Roman" w:hint="default"/>
      </w:rPr>
    </w:lvl>
    <w:lvl w:ilvl="2" w:tplc="F434383C" w:tentative="1">
      <w:start w:val="1"/>
      <w:numFmt w:val="bullet"/>
      <w:lvlText w:val="•"/>
      <w:lvlJc w:val="left"/>
      <w:pPr>
        <w:tabs>
          <w:tab w:val="num" w:pos="2160"/>
        </w:tabs>
        <w:ind w:left="2160" w:hanging="360"/>
      </w:pPr>
      <w:rPr>
        <w:rFonts w:ascii="Times New Roman" w:hAnsi="Times New Roman" w:hint="default"/>
      </w:rPr>
    </w:lvl>
    <w:lvl w:ilvl="3" w:tplc="A1388E54" w:tentative="1">
      <w:start w:val="1"/>
      <w:numFmt w:val="bullet"/>
      <w:lvlText w:val="•"/>
      <w:lvlJc w:val="left"/>
      <w:pPr>
        <w:tabs>
          <w:tab w:val="num" w:pos="2880"/>
        </w:tabs>
        <w:ind w:left="2880" w:hanging="360"/>
      </w:pPr>
      <w:rPr>
        <w:rFonts w:ascii="Times New Roman" w:hAnsi="Times New Roman" w:hint="default"/>
      </w:rPr>
    </w:lvl>
    <w:lvl w:ilvl="4" w:tplc="D1A404E6" w:tentative="1">
      <w:start w:val="1"/>
      <w:numFmt w:val="bullet"/>
      <w:lvlText w:val="•"/>
      <w:lvlJc w:val="left"/>
      <w:pPr>
        <w:tabs>
          <w:tab w:val="num" w:pos="3600"/>
        </w:tabs>
        <w:ind w:left="3600" w:hanging="360"/>
      </w:pPr>
      <w:rPr>
        <w:rFonts w:ascii="Times New Roman" w:hAnsi="Times New Roman" w:hint="default"/>
      </w:rPr>
    </w:lvl>
    <w:lvl w:ilvl="5" w:tplc="3398B7A8" w:tentative="1">
      <w:start w:val="1"/>
      <w:numFmt w:val="bullet"/>
      <w:lvlText w:val="•"/>
      <w:lvlJc w:val="left"/>
      <w:pPr>
        <w:tabs>
          <w:tab w:val="num" w:pos="4320"/>
        </w:tabs>
        <w:ind w:left="4320" w:hanging="360"/>
      </w:pPr>
      <w:rPr>
        <w:rFonts w:ascii="Times New Roman" w:hAnsi="Times New Roman" w:hint="default"/>
      </w:rPr>
    </w:lvl>
    <w:lvl w:ilvl="6" w:tplc="1D4087A6" w:tentative="1">
      <w:start w:val="1"/>
      <w:numFmt w:val="bullet"/>
      <w:lvlText w:val="•"/>
      <w:lvlJc w:val="left"/>
      <w:pPr>
        <w:tabs>
          <w:tab w:val="num" w:pos="5040"/>
        </w:tabs>
        <w:ind w:left="5040" w:hanging="360"/>
      </w:pPr>
      <w:rPr>
        <w:rFonts w:ascii="Times New Roman" w:hAnsi="Times New Roman" w:hint="default"/>
      </w:rPr>
    </w:lvl>
    <w:lvl w:ilvl="7" w:tplc="5FC0C630" w:tentative="1">
      <w:start w:val="1"/>
      <w:numFmt w:val="bullet"/>
      <w:lvlText w:val="•"/>
      <w:lvlJc w:val="left"/>
      <w:pPr>
        <w:tabs>
          <w:tab w:val="num" w:pos="5760"/>
        </w:tabs>
        <w:ind w:left="5760" w:hanging="360"/>
      </w:pPr>
      <w:rPr>
        <w:rFonts w:ascii="Times New Roman" w:hAnsi="Times New Roman" w:hint="default"/>
      </w:rPr>
    </w:lvl>
    <w:lvl w:ilvl="8" w:tplc="9DAEBFC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6E933D5"/>
    <w:multiLevelType w:val="multilevel"/>
    <w:tmpl w:val="382C60BE"/>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67A02689"/>
    <w:multiLevelType w:val="multilevel"/>
    <w:tmpl w:val="358A6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A331F6"/>
    <w:multiLevelType w:val="hybridMultilevel"/>
    <w:tmpl w:val="C5A4D2BE"/>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9">
    <w:nsid w:val="7BBE02A3"/>
    <w:multiLevelType w:val="hybridMultilevel"/>
    <w:tmpl w:val="5DFAA540"/>
    <w:lvl w:ilvl="0" w:tplc="1374AEB6">
      <w:start w:val="1"/>
      <w:numFmt w:val="decimal"/>
      <w:lvlText w:val="%1."/>
      <w:lvlJc w:val="left"/>
      <w:pPr>
        <w:ind w:left="1068" w:hanging="360"/>
      </w:pPr>
      <w:rPr>
        <w:rFonts w:ascii="Times New Roman" w:eastAsiaTheme="minorHAnsi" w:hAnsi="Times New Roman" w:cstheme="minorBidi"/>
        <w:sz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3"/>
  </w:num>
  <w:num w:numId="2">
    <w:abstractNumId w:val="14"/>
  </w:num>
  <w:num w:numId="3">
    <w:abstractNumId w:val="12"/>
  </w:num>
  <w:num w:numId="4">
    <w:abstractNumId w:val="4"/>
  </w:num>
  <w:num w:numId="5">
    <w:abstractNumId w:val="11"/>
  </w:num>
  <w:num w:numId="6">
    <w:abstractNumId w:val="2"/>
  </w:num>
  <w:num w:numId="7">
    <w:abstractNumId w:val="1"/>
  </w:num>
  <w:num w:numId="8">
    <w:abstractNumId w:val="16"/>
  </w:num>
  <w:num w:numId="9">
    <w:abstractNumId w:val="7"/>
  </w:num>
  <w:num w:numId="10">
    <w:abstractNumId w:val="17"/>
  </w:num>
  <w:num w:numId="11">
    <w:abstractNumId w:val="19"/>
  </w:num>
  <w:num w:numId="12">
    <w:abstractNumId w:val="6"/>
  </w:num>
  <w:num w:numId="13">
    <w:abstractNumId w:val="9"/>
  </w:num>
  <w:num w:numId="14">
    <w:abstractNumId w:val="8"/>
  </w:num>
  <w:num w:numId="15">
    <w:abstractNumId w:val="18"/>
  </w:num>
  <w:num w:numId="16">
    <w:abstractNumId w:val="10"/>
  </w:num>
  <w:num w:numId="17">
    <w:abstractNumId w:val="3"/>
  </w:num>
  <w:num w:numId="18">
    <w:abstractNumId w:val="15"/>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4D"/>
    <w:rsid w:val="000101EB"/>
    <w:rsid w:val="000105DE"/>
    <w:rsid w:val="00036A3B"/>
    <w:rsid w:val="0004224F"/>
    <w:rsid w:val="0004654D"/>
    <w:rsid w:val="00046792"/>
    <w:rsid w:val="000502F6"/>
    <w:rsid w:val="0006428E"/>
    <w:rsid w:val="00091A45"/>
    <w:rsid w:val="0009472A"/>
    <w:rsid w:val="0009669D"/>
    <w:rsid w:val="000A696F"/>
    <w:rsid w:val="000B4801"/>
    <w:rsid w:val="000E537B"/>
    <w:rsid w:val="000F0323"/>
    <w:rsid w:val="000F2D72"/>
    <w:rsid w:val="000F4845"/>
    <w:rsid w:val="000F6F57"/>
    <w:rsid w:val="00117D2E"/>
    <w:rsid w:val="00120726"/>
    <w:rsid w:val="00125439"/>
    <w:rsid w:val="00135B3B"/>
    <w:rsid w:val="001461CC"/>
    <w:rsid w:val="001554B8"/>
    <w:rsid w:val="00155DB0"/>
    <w:rsid w:val="00186EE2"/>
    <w:rsid w:val="0019100C"/>
    <w:rsid w:val="001A1547"/>
    <w:rsid w:val="001B429B"/>
    <w:rsid w:val="001C148E"/>
    <w:rsid w:val="001D73C3"/>
    <w:rsid w:val="001F0647"/>
    <w:rsid w:val="001F19B9"/>
    <w:rsid w:val="00202B78"/>
    <w:rsid w:val="0022057C"/>
    <w:rsid w:val="0022665E"/>
    <w:rsid w:val="00255586"/>
    <w:rsid w:val="002618F7"/>
    <w:rsid w:val="00265F8A"/>
    <w:rsid w:val="0027163A"/>
    <w:rsid w:val="00277E6E"/>
    <w:rsid w:val="00293848"/>
    <w:rsid w:val="002A2930"/>
    <w:rsid w:val="002A4924"/>
    <w:rsid w:val="002C4CF2"/>
    <w:rsid w:val="002C6E95"/>
    <w:rsid w:val="002D5BE5"/>
    <w:rsid w:val="002E19B6"/>
    <w:rsid w:val="002E319D"/>
    <w:rsid w:val="002E53AA"/>
    <w:rsid w:val="0030305F"/>
    <w:rsid w:val="0032184C"/>
    <w:rsid w:val="00323B5D"/>
    <w:rsid w:val="00324EAF"/>
    <w:rsid w:val="00326D11"/>
    <w:rsid w:val="0034027A"/>
    <w:rsid w:val="00351BA0"/>
    <w:rsid w:val="00384C08"/>
    <w:rsid w:val="003B16A4"/>
    <w:rsid w:val="003B3F37"/>
    <w:rsid w:val="003B5015"/>
    <w:rsid w:val="003B7083"/>
    <w:rsid w:val="003C6D64"/>
    <w:rsid w:val="003D013C"/>
    <w:rsid w:val="003D6E90"/>
    <w:rsid w:val="003E340F"/>
    <w:rsid w:val="003E40E6"/>
    <w:rsid w:val="003F0722"/>
    <w:rsid w:val="003F1DBF"/>
    <w:rsid w:val="003F296B"/>
    <w:rsid w:val="003F749F"/>
    <w:rsid w:val="003F792F"/>
    <w:rsid w:val="00415057"/>
    <w:rsid w:val="004425A1"/>
    <w:rsid w:val="00443B6C"/>
    <w:rsid w:val="004459A8"/>
    <w:rsid w:val="00461F2B"/>
    <w:rsid w:val="00463496"/>
    <w:rsid w:val="00486ECD"/>
    <w:rsid w:val="00491300"/>
    <w:rsid w:val="00491E1E"/>
    <w:rsid w:val="004976A3"/>
    <w:rsid w:val="004A196F"/>
    <w:rsid w:val="004C1670"/>
    <w:rsid w:val="004C60A4"/>
    <w:rsid w:val="004D04E5"/>
    <w:rsid w:val="004D1E63"/>
    <w:rsid w:val="004D2A01"/>
    <w:rsid w:val="004D3D7F"/>
    <w:rsid w:val="004D5892"/>
    <w:rsid w:val="004D7880"/>
    <w:rsid w:val="004E3398"/>
    <w:rsid w:val="004F01C6"/>
    <w:rsid w:val="004F0435"/>
    <w:rsid w:val="004F7FC3"/>
    <w:rsid w:val="00513542"/>
    <w:rsid w:val="00527546"/>
    <w:rsid w:val="00527B58"/>
    <w:rsid w:val="00537875"/>
    <w:rsid w:val="00582492"/>
    <w:rsid w:val="00586D93"/>
    <w:rsid w:val="00587F57"/>
    <w:rsid w:val="005A12B3"/>
    <w:rsid w:val="005A4D96"/>
    <w:rsid w:val="005A5364"/>
    <w:rsid w:val="005A78C7"/>
    <w:rsid w:val="005B028F"/>
    <w:rsid w:val="005B728C"/>
    <w:rsid w:val="005E66B4"/>
    <w:rsid w:val="005E6C21"/>
    <w:rsid w:val="005F2E66"/>
    <w:rsid w:val="00605198"/>
    <w:rsid w:val="00627FA4"/>
    <w:rsid w:val="00631774"/>
    <w:rsid w:val="00674EA5"/>
    <w:rsid w:val="00680D04"/>
    <w:rsid w:val="00690EB4"/>
    <w:rsid w:val="006C5EB7"/>
    <w:rsid w:val="006C682F"/>
    <w:rsid w:val="006E22D0"/>
    <w:rsid w:val="006E48B0"/>
    <w:rsid w:val="006F406F"/>
    <w:rsid w:val="006F6152"/>
    <w:rsid w:val="0070319D"/>
    <w:rsid w:val="007076DC"/>
    <w:rsid w:val="0071318A"/>
    <w:rsid w:val="0072059F"/>
    <w:rsid w:val="00732CC0"/>
    <w:rsid w:val="007370F6"/>
    <w:rsid w:val="00750674"/>
    <w:rsid w:val="00754EC2"/>
    <w:rsid w:val="00767888"/>
    <w:rsid w:val="00774E26"/>
    <w:rsid w:val="0078734F"/>
    <w:rsid w:val="007875C1"/>
    <w:rsid w:val="007933D4"/>
    <w:rsid w:val="00793655"/>
    <w:rsid w:val="007A2EC6"/>
    <w:rsid w:val="007B2F0A"/>
    <w:rsid w:val="007C2553"/>
    <w:rsid w:val="007C6629"/>
    <w:rsid w:val="007D333D"/>
    <w:rsid w:val="007D3F0C"/>
    <w:rsid w:val="007E0213"/>
    <w:rsid w:val="007F4E3A"/>
    <w:rsid w:val="007F669D"/>
    <w:rsid w:val="007F7CCC"/>
    <w:rsid w:val="00807297"/>
    <w:rsid w:val="0081405B"/>
    <w:rsid w:val="00850A63"/>
    <w:rsid w:val="00850D35"/>
    <w:rsid w:val="00875B04"/>
    <w:rsid w:val="00887D40"/>
    <w:rsid w:val="00895EF3"/>
    <w:rsid w:val="008A176F"/>
    <w:rsid w:val="008A3E80"/>
    <w:rsid w:val="008B1574"/>
    <w:rsid w:val="008B5E4A"/>
    <w:rsid w:val="008C31FA"/>
    <w:rsid w:val="008D366D"/>
    <w:rsid w:val="008D3FE1"/>
    <w:rsid w:val="008E0B7E"/>
    <w:rsid w:val="009070A7"/>
    <w:rsid w:val="0091309D"/>
    <w:rsid w:val="00913C5F"/>
    <w:rsid w:val="009172C6"/>
    <w:rsid w:val="0092711A"/>
    <w:rsid w:val="00933743"/>
    <w:rsid w:val="00955C9D"/>
    <w:rsid w:val="00961345"/>
    <w:rsid w:val="00973954"/>
    <w:rsid w:val="00983688"/>
    <w:rsid w:val="009869FE"/>
    <w:rsid w:val="009A52FB"/>
    <w:rsid w:val="009B42AC"/>
    <w:rsid w:val="009B7FA3"/>
    <w:rsid w:val="009C5135"/>
    <w:rsid w:val="009F0715"/>
    <w:rsid w:val="00A0229A"/>
    <w:rsid w:val="00A250F6"/>
    <w:rsid w:val="00A25B88"/>
    <w:rsid w:val="00A3137E"/>
    <w:rsid w:val="00A5000E"/>
    <w:rsid w:val="00A53E3F"/>
    <w:rsid w:val="00A56A0E"/>
    <w:rsid w:val="00A627B5"/>
    <w:rsid w:val="00A65D2F"/>
    <w:rsid w:val="00A8290C"/>
    <w:rsid w:val="00A91D71"/>
    <w:rsid w:val="00AA2771"/>
    <w:rsid w:val="00AA4B24"/>
    <w:rsid w:val="00AB59C4"/>
    <w:rsid w:val="00AB6CBA"/>
    <w:rsid w:val="00AC1A88"/>
    <w:rsid w:val="00AC4F5B"/>
    <w:rsid w:val="00AD1B2D"/>
    <w:rsid w:val="00AE344E"/>
    <w:rsid w:val="00AF13F2"/>
    <w:rsid w:val="00AF3B56"/>
    <w:rsid w:val="00AF5035"/>
    <w:rsid w:val="00B060B0"/>
    <w:rsid w:val="00B14C1D"/>
    <w:rsid w:val="00B30796"/>
    <w:rsid w:val="00B36780"/>
    <w:rsid w:val="00B554FA"/>
    <w:rsid w:val="00B751B4"/>
    <w:rsid w:val="00B94705"/>
    <w:rsid w:val="00BD7798"/>
    <w:rsid w:val="00BE0BE5"/>
    <w:rsid w:val="00BF0307"/>
    <w:rsid w:val="00BF657A"/>
    <w:rsid w:val="00BF684D"/>
    <w:rsid w:val="00C06089"/>
    <w:rsid w:val="00C13B7B"/>
    <w:rsid w:val="00C145A2"/>
    <w:rsid w:val="00C177BA"/>
    <w:rsid w:val="00C200CC"/>
    <w:rsid w:val="00C2086D"/>
    <w:rsid w:val="00C33B5F"/>
    <w:rsid w:val="00C42267"/>
    <w:rsid w:val="00C4531F"/>
    <w:rsid w:val="00C5235D"/>
    <w:rsid w:val="00C571B9"/>
    <w:rsid w:val="00C65771"/>
    <w:rsid w:val="00C65D5E"/>
    <w:rsid w:val="00C74111"/>
    <w:rsid w:val="00CB7626"/>
    <w:rsid w:val="00CE1859"/>
    <w:rsid w:val="00D11B91"/>
    <w:rsid w:val="00D20DC5"/>
    <w:rsid w:val="00D353AE"/>
    <w:rsid w:val="00D452D7"/>
    <w:rsid w:val="00D620F1"/>
    <w:rsid w:val="00D9118E"/>
    <w:rsid w:val="00D93CAC"/>
    <w:rsid w:val="00DC5003"/>
    <w:rsid w:val="00DD1CDE"/>
    <w:rsid w:val="00DE65EB"/>
    <w:rsid w:val="00E01895"/>
    <w:rsid w:val="00E0409B"/>
    <w:rsid w:val="00E11561"/>
    <w:rsid w:val="00E21554"/>
    <w:rsid w:val="00E24DB1"/>
    <w:rsid w:val="00E261A6"/>
    <w:rsid w:val="00E3789F"/>
    <w:rsid w:val="00E60B5F"/>
    <w:rsid w:val="00E62A26"/>
    <w:rsid w:val="00E6766B"/>
    <w:rsid w:val="00E74DBA"/>
    <w:rsid w:val="00E90AD8"/>
    <w:rsid w:val="00E976A8"/>
    <w:rsid w:val="00EA2491"/>
    <w:rsid w:val="00ED0F0C"/>
    <w:rsid w:val="00ED3268"/>
    <w:rsid w:val="00EF3AEF"/>
    <w:rsid w:val="00F30451"/>
    <w:rsid w:val="00F37DDE"/>
    <w:rsid w:val="00F44AF1"/>
    <w:rsid w:val="00F82A40"/>
    <w:rsid w:val="00FC2D48"/>
    <w:rsid w:val="00FC4C31"/>
    <w:rsid w:val="00FD2550"/>
    <w:rsid w:val="00FD3E87"/>
    <w:rsid w:val="00FE7930"/>
    <w:rsid w:val="00FF61A0"/>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A2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AC"/>
    <w:pPr>
      <w:spacing w:line="240" w:lineRule="auto"/>
      <w:ind w:firstLine="851"/>
      <w:jc w:val="both"/>
    </w:pPr>
    <w:rPr>
      <w:rFonts w:ascii="Times New Roman" w:hAnsi="Times New Roman"/>
      <w:sz w:val="24"/>
    </w:rPr>
  </w:style>
  <w:style w:type="paragraph" w:styleId="Ttulo1">
    <w:name w:val="heading 1"/>
    <w:basedOn w:val="Normal"/>
    <w:next w:val="Normal"/>
    <w:link w:val="Ttulo1Car"/>
    <w:uiPriority w:val="9"/>
    <w:qFormat/>
    <w:rsid w:val="0004654D"/>
    <w:pPr>
      <w:keepNext/>
      <w:keepLines/>
      <w:spacing w:before="120" w:after="120"/>
      <w:jc w:val="center"/>
      <w:outlineLvl w:val="0"/>
    </w:pPr>
    <w:rPr>
      <w:rFonts w:eastAsiaTheme="majorEastAsia" w:cstheme="majorBidi"/>
      <w:b/>
      <w:szCs w:val="32"/>
      <w:lang w:eastAsia="es-ES"/>
    </w:rPr>
  </w:style>
  <w:style w:type="paragraph" w:styleId="Ttulo2">
    <w:name w:val="heading 2"/>
    <w:basedOn w:val="Normal"/>
    <w:next w:val="Normal"/>
    <w:link w:val="Ttulo2Car"/>
    <w:uiPriority w:val="9"/>
    <w:unhideWhenUsed/>
    <w:qFormat/>
    <w:rsid w:val="0004654D"/>
    <w:pPr>
      <w:keepNext/>
      <w:keepLines/>
      <w:spacing w:before="160" w:after="120"/>
      <w:jc w:val="left"/>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04654D"/>
    <w:pPr>
      <w:keepNext/>
      <w:keepLines/>
      <w:spacing w:before="160" w:after="120"/>
      <w:ind w:left="709"/>
      <w:jc w:val="left"/>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654D"/>
    <w:rPr>
      <w:rFonts w:ascii="Times New Roman" w:eastAsiaTheme="majorEastAsia" w:hAnsi="Times New Roman" w:cstheme="majorBidi"/>
      <w:b/>
      <w:sz w:val="24"/>
      <w:szCs w:val="32"/>
      <w:lang w:eastAsia="es-ES"/>
    </w:rPr>
  </w:style>
  <w:style w:type="character" w:customStyle="1" w:styleId="Ttulo2Car">
    <w:name w:val="Título 2 Car"/>
    <w:basedOn w:val="Fuentedeprrafopredeter"/>
    <w:link w:val="Ttulo2"/>
    <w:uiPriority w:val="9"/>
    <w:rsid w:val="0004654D"/>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04654D"/>
    <w:rPr>
      <w:rFonts w:ascii="Times New Roman" w:eastAsiaTheme="majorEastAsia" w:hAnsi="Times New Roman" w:cstheme="majorBidi"/>
      <w:b/>
      <w:sz w:val="24"/>
      <w:szCs w:val="24"/>
    </w:rPr>
  </w:style>
  <w:style w:type="paragraph" w:styleId="Bibliografa">
    <w:name w:val="Bibliography"/>
    <w:basedOn w:val="Normal"/>
    <w:next w:val="Normal"/>
    <w:uiPriority w:val="37"/>
    <w:unhideWhenUsed/>
    <w:rsid w:val="0004654D"/>
  </w:style>
  <w:style w:type="paragraph" w:styleId="Epgrafe">
    <w:name w:val="caption"/>
    <w:basedOn w:val="Normal"/>
    <w:next w:val="Normal"/>
    <w:uiPriority w:val="35"/>
    <w:unhideWhenUsed/>
    <w:qFormat/>
    <w:rsid w:val="0004654D"/>
    <w:pPr>
      <w:spacing w:after="200"/>
    </w:pPr>
    <w:rPr>
      <w:i/>
      <w:iCs/>
      <w:color w:val="44546A" w:themeColor="text2"/>
      <w:sz w:val="18"/>
      <w:szCs w:val="18"/>
    </w:rPr>
  </w:style>
  <w:style w:type="paragraph" w:styleId="Sinespaciado">
    <w:name w:val="No Spacing"/>
    <w:aliases w:val="Tablas y gráficos"/>
    <w:basedOn w:val="Normal"/>
    <w:link w:val="SinespaciadoCar"/>
    <w:uiPriority w:val="1"/>
    <w:rsid w:val="0004654D"/>
    <w:pPr>
      <w:spacing w:after="0"/>
    </w:pPr>
    <w:rPr>
      <w:sz w:val="20"/>
    </w:rPr>
  </w:style>
  <w:style w:type="character" w:customStyle="1" w:styleId="SinespaciadoCar">
    <w:name w:val="Sin espaciado Car"/>
    <w:aliases w:val="Tablas y gráficos Car"/>
    <w:basedOn w:val="Fuentedeprrafopredeter"/>
    <w:link w:val="Sinespaciado"/>
    <w:uiPriority w:val="1"/>
    <w:rsid w:val="0004654D"/>
    <w:rPr>
      <w:rFonts w:ascii="Times New Roman" w:hAnsi="Times New Roman"/>
      <w:sz w:val="20"/>
    </w:rPr>
  </w:style>
  <w:style w:type="paragraph" w:customStyle="1" w:styleId="Ttulotablasygrficos">
    <w:name w:val="Título tablas y gráficos"/>
    <w:basedOn w:val="Sinespaciado"/>
    <w:link w:val="TtulotablasygrficosCar"/>
    <w:qFormat/>
    <w:rsid w:val="0004654D"/>
    <w:pPr>
      <w:jc w:val="center"/>
    </w:pPr>
    <w:rPr>
      <w:b/>
    </w:rPr>
  </w:style>
  <w:style w:type="character" w:customStyle="1" w:styleId="TtulotablasygrficosCar">
    <w:name w:val="Título tablas y gráficos Car"/>
    <w:basedOn w:val="SinespaciadoCar"/>
    <w:link w:val="Ttulotablasygrficos"/>
    <w:rsid w:val="0004654D"/>
    <w:rPr>
      <w:rFonts w:ascii="Times New Roman" w:hAnsi="Times New Roman"/>
      <w:b/>
      <w:sz w:val="20"/>
    </w:rPr>
  </w:style>
  <w:style w:type="paragraph" w:styleId="Prrafodelista">
    <w:name w:val="List Paragraph"/>
    <w:basedOn w:val="Normal"/>
    <w:uiPriority w:val="34"/>
    <w:qFormat/>
    <w:rsid w:val="0004654D"/>
    <w:pPr>
      <w:ind w:left="720"/>
      <w:contextualSpacing/>
    </w:pPr>
  </w:style>
  <w:style w:type="character" w:styleId="Hipervnculo">
    <w:name w:val="Hyperlink"/>
    <w:basedOn w:val="Fuentedeprrafopredeter"/>
    <w:uiPriority w:val="99"/>
    <w:unhideWhenUsed/>
    <w:rsid w:val="0004654D"/>
    <w:rPr>
      <w:color w:val="0563C1" w:themeColor="hyperlink"/>
      <w:u w:val="single"/>
    </w:rPr>
  </w:style>
  <w:style w:type="paragraph" w:styleId="Encabezado">
    <w:name w:val="header"/>
    <w:basedOn w:val="Normal"/>
    <w:link w:val="EncabezadoCar"/>
    <w:uiPriority w:val="99"/>
    <w:unhideWhenUsed/>
    <w:rsid w:val="0004654D"/>
    <w:pPr>
      <w:tabs>
        <w:tab w:val="center" w:pos="4252"/>
        <w:tab w:val="right" w:pos="8504"/>
      </w:tabs>
      <w:spacing w:after="0"/>
    </w:pPr>
  </w:style>
  <w:style w:type="character" w:customStyle="1" w:styleId="EncabezadoCar">
    <w:name w:val="Encabezado Car"/>
    <w:basedOn w:val="Fuentedeprrafopredeter"/>
    <w:link w:val="Encabezado"/>
    <w:uiPriority w:val="99"/>
    <w:rsid w:val="0004654D"/>
    <w:rPr>
      <w:rFonts w:ascii="Times New Roman" w:hAnsi="Times New Roman"/>
      <w:sz w:val="24"/>
    </w:rPr>
  </w:style>
  <w:style w:type="paragraph" w:styleId="Piedepgina">
    <w:name w:val="footer"/>
    <w:basedOn w:val="Normal"/>
    <w:link w:val="PiedepginaCar"/>
    <w:uiPriority w:val="99"/>
    <w:unhideWhenUsed/>
    <w:rsid w:val="0004654D"/>
    <w:pPr>
      <w:tabs>
        <w:tab w:val="center" w:pos="4252"/>
        <w:tab w:val="right" w:pos="8504"/>
      </w:tabs>
      <w:spacing w:after="0"/>
    </w:pPr>
  </w:style>
  <w:style w:type="character" w:customStyle="1" w:styleId="PiedepginaCar">
    <w:name w:val="Pie de página Car"/>
    <w:basedOn w:val="Fuentedeprrafopredeter"/>
    <w:link w:val="Piedepgina"/>
    <w:uiPriority w:val="99"/>
    <w:rsid w:val="0004654D"/>
    <w:rPr>
      <w:rFonts w:ascii="Times New Roman" w:hAnsi="Times New Roman"/>
      <w:sz w:val="24"/>
    </w:rPr>
  </w:style>
  <w:style w:type="paragraph" w:styleId="Encabezadodetabladecontenido">
    <w:name w:val="TOC Heading"/>
    <w:basedOn w:val="Ttulo1"/>
    <w:next w:val="Normal"/>
    <w:uiPriority w:val="39"/>
    <w:unhideWhenUsed/>
    <w:qFormat/>
    <w:rsid w:val="0004654D"/>
    <w:pPr>
      <w:spacing w:before="240" w:after="0"/>
      <w:jc w:val="left"/>
      <w:outlineLvl w:val="9"/>
    </w:pPr>
    <w:rPr>
      <w:rFonts w:asciiTheme="majorHAnsi" w:hAnsiTheme="majorHAnsi"/>
      <w:b w:val="0"/>
      <w:color w:val="2E74B5" w:themeColor="accent1" w:themeShade="BF"/>
      <w:sz w:val="32"/>
      <w:lang w:val="es-ES"/>
    </w:rPr>
  </w:style>
  <w:style w:type="paragraph" w:styleId="TDC1">
    <w:name w:val="toc 1"/>
    <w:basedOn w:val="Normal"/>
    <w:next w:val="Normal"/>
    <w:autoRedefine/>
    <w:uiPriority w:val="39"/>
    <w:unhideWhenUsed/>
    <w:rsid w:val="0004654D"/>
    <w:pPr>
      <w:spacing w:after="100"/>
    </w:pPr>
  </w:style>
  <w:style w:type="paragraph" w:styleId="TDC2">
    <w:name w:val="toc 2"/>
    <w:basedOn w:val="Normal"/>
    <w:next w:val="Normal"/>
    <w:autoRedefine/>
    <w:uiPriority w:val="39"/>
    <w:unhideWhenUsed/>
    <w:rsid w:val="0004654D"/>
    <w:pPr>
      <w:spacing w:after="100"/>
      <w:ind w:left="240"/>
    </w:pPr>
  </w:style>
  <w:style w:type="paragraph" w:styleId="TDC3">
    <w:name w:val="toc 3"/>
    <w:basedOn w:val="Normal"/>
    <w:next w:val="Normal"/>
    <w:autoRedefine/>
    <w:uiPriority w:val="39"/>
    <w:unhideWhenUsed/>
    <w:rsid w:val="0004654D"/>
    <w:pPr>
      <w:spacing w:after="100"/>
      <w:ind w:left="480"/>
    </w:pPr>
  </w:style>
  <w:style w:type="character" w:customStyle="1" w:styleId="TextocomentarioCar">
    <w:name w:val="Texto comentario Car"/>
    <w:basedOn w:val="Fuentedeprrafopredeter"/>
    <w:link w:val="Textocomentario"/>
    <w:uiPriority w:val="99"/>
    <w:rsid w:val="0004654D"/>
    <w:rPr>
      <w:rFonts w:ascii="Times New Roman" w:hAnsi="Times New Roman"/>
      <w:sz w:val="20"/>
      <w:szCs w:val="20"/>
    </w:rPr>
  </w:style>
  <w:style w:type="paragraph" w:styleId="Textocomentario">
    <w:name w:val="annotation text"/>
    <w:basedOn w:val="Normal"/>
    <w:link w:val="TextocomentarioCar"/>
    <w:uiPriority w:val="99"/>
    <w:unhideWhenUsed/>
    <w:rsid w:val="0004654D"/>
    <w:rPr>
      <w:sz w:val="20"/>
      <w:szCs w:val="20"/>
    </w:rPr>
  </w:style>
  <w:style w:type="character" w:customStyle="1" w:styleId="AsuntodelcomentarioCar">
    <w:name w:val="Asunto del comentario Car"/>
    <w:basedOn w:val="TextocomentarioCar"/>
    <w:link w:val="Asuntodelcomentario"/>
    <w:uiPriority w:val="99"/>
    <w:semiHidden/>
    <w:rsid w:val="0004654D"/>
    <w:rPr>
      <w:rFonts w:ascii="Times New Roman" w:hAnsi="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04654D"/>
    <w:rPr>
      <w:b/>
      <w:bCs/>
    </w:rPr>
  </w:style>
  <w:style w:type="character" w:customStyle="1" w:styleId="TextodegloboCar">
    <w:name w:val="Texto de globo Car"/>
    <w:basedOn w:val="Fuentedeprrafopredeter"/>
    <w:link w:val="Textodeglobo"/>
    <w:uiPriority w:val="99"/>
    <w:semiHidden/>
    <w:rsid w:val="0004654D"/>
    <w:rPr>
      <w:rFonts w:ascii="Segoe UI" w:hAnsi="Segoe UI" w:cs="Segoe UI"/>
      <w:sz w:val="18"/>
      <w:szCs w:val="18"/>
    </w:rPr>
  </w:style>
  <w:style w:type="paragraph" w:styleId="Textodeglobo">
    <w:name w:val="Balloon Text"/>
    <w:basedOn w:val="Normal"/>
    <w:link w:val="TextodegloboCar"/>
    <w:uiPriority w:val="99"/>
    <w:semiHidden/>
    <w:unhideWhenUsed/>
    <w:rsid w:val="0004654D"/>
    <w:pPr>
      <w:spacing w:after="0"/>
    </w:pPr>
    <w:rPr>
      <w:rFonts w:ascii="Segoe UI" w:hAnsi="Segoe UI" w:cs="Segoe UI"/>
      <w:sz w:val="18"/>
      <w:szCs w:val="18"/>
    </w:rPr>
  </w:style>
  <w:style w:type="paragraph" w:styleId="Textonotapie">
    <w:name w:val="footnote text"/>
    <w:basedOn w:val="Normal"/>
    <w:link w:val="TextonotapieCar"/>
    <w:uiPriority w:val="99"/>
    <w:semiHidden/>
    <w:unhideWhenUsed/>
    <w:rsid w:val="0004654D"/>
    <w:pPr>
      <w:spacing w:after="0"/>
      <w:ind w:firstLine="0"/>
    </w:pPr>
    <w:rPr>
      <w:sz w:val="20"/>
      <w:szCs w:val="20"/>
    </w:rPr>
  </w:style>
  <w:style w:type="character" w:customStyle="1" w:styleId="TextonotapieCar">
    <w:name w:val="Texto nota pie Car"/>
    <w:basedOn w:val="Fuentedeprrafopredeter"/>
    <w:link w:val="Textonotapie"/>
    <w:uiPriority w:val="99"/>
    <w:semiHidden/>
    <w:rsid w:val="0004654D"/>
    <w:rPr>
      <w:rFonts w:ascii="Times New Roman" w:hAnsi="Times New Roman"/>
      <w:sz w:val="20"/>
      <w:szCs w:val="20"/>
    </w:rPr>
  </w:style>
  <w:style w:type="character" w:styleId="Refdecomentario">
    <w:name w:val="annotation reference"/>
    <w:basedOn w:val="Fuentedeprrafopredeter"/>
    <w:uiPriority w:val="99"/>
    <w:semiHidden/>
    <w:unhideWhenUsed/>
    <w:rsid w:val="007C2553"/>
    <w:rPr>
      <w:sz w:val="16"/>
      <w:szCs w:val="16"/>
    </w:rPr>
  </w:style>
  <w:style w:type="paragraph" w:styleId="HTMLconformatoprevio">
    <w:name w:val="HTML Preformatted"/>
    <w:basedOn w:val="Normal"/>
    <w:link w:val="HTMLconformatoprevioCar"/>
    <w:uiPriority w:val="99"/>
    <w:semiHidden/>
    <w:unhideWhenUsed/>
    <w:rsid w:val="00ED0F0C"/>
    <w:pPr>
      <w:spacing w:after="0"/>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D0F0C"/>
    <w:rPr>
      <w:rFonts w:ascii="Consolas" w:hAnsi="Consolas"/>
      <w:sz w:val="20"/>
      <w:szCs w:val="20"/>
    </w:rPr>
  </w:style>
  <w:style w:type="paragraph" w:styleId="Mapadeldocumento">
    <w:name w:val="Document Map"/>
    <w:basedOn w:val="Normal"/>
    <w:link w:val="MapadeldocumentoCar"/>
    <w:uiPriority w:val="99"/>
    <w:semiHidden/>
    <w:unhideWhenUsed/>
    <w:rsid w:val="003F749F"/>
    <w:pPr>
      <w:spacing w:after="0"/>
    </w:pPr>
    <w:rPr>
      <w:rFonts w:ascii="Lucida Grande" w:hAnsi="Lucida Grande" w:cs="Lucida Grande"/>
      <w:szCs w:val="24"/>
    </w:rPr>
  </w:style>
  <w:style w:type="character" w:customStyle="1" w:styleId="MapadeldocumentoCar">
    <w:name w:val="Mapa del documento Car"/>
    <w:basedOn w:val="Fuentedeprrafopredeter"/>
    <w:link w:val="Mapadeldocumento"/>
    <w:uiPriority w:val="99"/>
    <w:semiHidden/>
    <w:rsid w:val="003F749F"/>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AC"/>
    <w:pPr>
      <w:spacing w:line="240" w:lineRule="auto"/>
      <w:ind w:firstLine="851"/>
      <w:jc w:val="both"/>
    </w:pPr>
    <w:rPr>
      <w:rFonts w:ascii="Times New Roman" w:hAnsi="Times New Roman"/>
      <w:sz w:val="24"/>
    </w:rPr>
  </w:style>
  <w:style w:type="paragraph" w:styleId="Ttulo1">
    <w:name w:val="heading 1"/>
    <w:basedOn w:val="Normal"/>
    <w:next w:val="Normal"/>
    <w:link w:val="Ttulo1Car"/>
    <w:uiPriority w:val="9"/>
    <w:qFormat/>
    <w:rsid w:val="0004654D"/>
    <w:pPr>
      <w:keepNext/>
      <w:keepLines/>
      <w:spacing w:before="120" w:after="120"/>
      <w:jc w:val="center"/>
      <w:outlineLvl w:val="0"/>
    </w:pPr>
    <w:rPr>
      <w:rFonts w:eastAsiaTheme="majorEastAsia" w:cstheme="majorBidi"/>
      <w:b/>
      <w:szCs w:val="32"/>
      <w:lang w:eastAsia="es-ES"/>
    </w:rPr>
  </w:style>
  <w:style w:type="paragraph" w:styleId="Ttulo2">
    <w:name w:val="heading 2"/>
    <w:basedOn w:val="Normal"/>
    <w:next w:val="Normal"/>
    <w:link w:val="Ttulo2Car"/>
    <w:uiPriority w:val="9"/>
    <w:unhideWhenUsed/>
    <w:qFormat/>
    <w:rsid w:val="0004654D"/>
    <w:pPr>
      <w:keepNext/>
      <w:keepLines/>
      <w:spacing w:before="160" w:after="120"/>
      <w:jc w:val="left"/>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04654D"/>
    <w:pPr>
      <w:keepNext/>
      <w:keepLines/>
      <w:spacing w:before="160" w:after="120"/>
      <w:ind w:left="709"/>
      <w:jc w:val="left"/>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654D"/>
    <w:rPr>
      <w:rFonts w:ascii="Times New Roman" w:eastAsiaTheme="majorEastAsia" w:hAnsi="Times New Roman" w:cstheme="majorBidi"/>
      <w:b/>
      <w:sz w:val="24"/>
      <w:szCs w:val="32"/>
      <w:lang w:eastAsia="es-ES"/>
    </w:rPr>
  </w:style>
  <w:style w:type="character" w:customStyle="1" w:styleId="Ttulo2Car">
    <w:name w:val="Título 2 Car"/>
    <w:basedOn w:val="Fuentedeprrafopredeter"/>
    <w:link w:val="Ttulo2"/>
    <w:uiPriority w:val="9"/>
    <w:rsid w:val="0004654D"/>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04654D"/>
    <w:rPr>
      <w:rFonts w:ascii="Times New Roman" w:eastAsiaTheme="majorEastAsia" w:hAnsi="Times New Roman" w:cstheme="majorBidi"/>
      <w:b/>
      <w:sz w:val="24"/>
      <w:szCs w:val="24"/>
    </w:rPr>
  </w:style>
  <w:style w:type="paragraph" w:styleId="Bibliografa">
    <w:name w:val="Bibliography"/>
    <w:basedOn w:val="Normal"/>
    <w:next w:val="Normal"/>
    <w:uiPriority w:val="37"/>
    <w:unhideWhenUsed/>
    <w:rsid w:val="0004654D"/>
  </w:style>
  <w:style w:type="paragraph" w:styleId="Epgrafe">
    <w:name w:val="caption"/>
    <w:basedOn w:val="Normal"/>
    <w:next w:val="Normal"/>
    <w:uiPriority w:val="35"/>
    <w:unhideWhenUsed/>
    <w:qFormat/>
    <w:rsid w:val="0004654D"/>
    <w:pPr>
      <w:spacing w:after="200"/>
    </w:pPr>
    <w:rPr>
      <w:i/>
      <w:iCs/>
      <w:color w:val="44546A" w:themeColor="text2"/>
      <w:sz w:val="18"/>
      <w:szCs w:val="18"/>
    </w:rPr>
  </w:style>
  <w:style w:type="paragraph" w:styleId="Sinespaciado">
    <w:name w:val="No Spacing"/>
    <w:aliases w:val="Tablas y gráficos"/>
    <w:basedOn w:val="Normal"/>
    <w:link w:val="SinespaciadoCar"/>
    <w:uiPriority w:val="1"/>
    <w:rsid w:val="0004654D"/>
    <w:pPr>
      <w:spacing w:after="0"/>
    </w:pPr>
    <w:rPr>
      <w:sz w:val="20"/>
    </w:rPr>
  </w:style>
  <w:style w:type="character" w:customStyle="1" w:styleId="SinespaciadoCar">
    <w:name w:val="Sin espaciado Car"/>
    <w:aliases w:val="Tablas y gráficos Car"/>
    <w:basedOn w:val="Fuentedeprrafopredeter"/>
    <w:link w:val="Sinespaciado"/>
    <w:uiPriority w:val="1"/>
    <w:rsid w:val="0004654D"/>
    <w:rPr>
      <w:rFonts w:ascii="Times New Roman" w:hAnsi="Times New Roman"/>
      <w:sz w:val="20"/>
    </w:rPr>
  </w:style>
  <w:style w:type="paragraph" w:customStyle="1" w:styleId="Ttulotablasygrficos">
    <w:name w:val="Título tablas y gráficos"/>
    <w:basedOn w:val="Sinespaciado"/>
    <w:link w:val="TtulotablasygrficosCar"/>
    <w:qFormat/>
    <w:rsid w:val="0004654D"/>
    <w:pPr>
      <w:jc w:val="center"/>
    </w:pPr>
    <w:rPr>
      <w:b/>
    </w:rPr>
  </w:style>
  <w:style w:type="character" w:customStyle="1" w:styleId="TtulotablasygrficosCar">
    <w:name w:val="Título tablas y gráficos Car"/>
    <w:basedOn w:val="SinespaciadoCar"/>
    <w:link w:val="Ttulotablasygrficos"/>
    <w:rsid w:val="0004654D"/>
    <w:rPr>
      <w:rFonts w:ascii="Times New Roman" w:hAnsi="Times New Roman"/>
      <w:b/>
      <w:sz w:val="20"/>
    </w:rPr>
  </w:style>
  <w:style w:type="paragraph" w:styleId="Prrafodelista">
    <w:name w:val="List Paragraph"/>
    <w:basedOn w:val="Normal"/>
    <w:uiPriority w:val="34"/>
    <w:qFormat/>
    <w:rsid w:val="0004654D"/>
    <w:pPr>
      <w:ind w:left="720"/>
      <w:contextualSpacing/>
    </w:pPr>
  </w:style>
  <w:style w:type="character" w:styleId="Hipervnculo">
    <w:name w:val="Hyperlink"/>
    <w:basedOn w:val="Fuentedeprrafopredeter"/>
    <w:uiPriority w:val="99"/>
    <w:unhideWhenUsed/>
    <w:rsid w:val="0004654D"/>
    <w:rPr>
      <w:color w:val="0563C1" w:themeColor="hyperlink"/>
      <w:u w:val="single"/>
    </w:rPr>
  </w:style>
  <w:style w:type="paragraph" w:styleId="Encabezado">
    <w:name w:val="header"/>
    <w:basedOn w:val="Normal"/>
    <w:link w:val="EncabezadoCar"/>
    <w:uiPriority w:val="99"/>
    <w:unhideWhenUsed/>
    <w:rsid w:val="0004654D"/>
    <w:pPr>
      <w:tabs>
        <w:tab w:val="center" w:pos="4252"/>
        <w:tab w:val="right" w:pos="8504"/>
      </w:tabs>
      <w:spacing w:after="0"/>
    </w:pPr>
  </w:style>
  <w:style w:type="character" w:customStyle="1" w:styleId="EncabezadoCar">
    <w:name w:val="Encabezado Car"/>
    <w:basedOn w:val="Fuentedeprrafopredeter"/>
    <w:link w:val="Encabezado"/>
    <w:uiPriority w:val="99"/>
    <w:rsid w:val="0004654D"/>
    <w:rPr>
      <w:rFonts w:ascii="Times New Roman" w:hAnsi="Times New Roman"/>
      <w:sz w:val="24"/>
    </w:rPr>
  </w:style>
  <w:style w:type="paragraph" w:styleId="Piedepgina">
    <w:name w:val="footer"/>
    <w:basedOn w:val="Normal"/>
    <w:link w:val="PiedepginaCar"/>
    <w:uiPriority w:val="99"/>
    <w:unhideWhenUsed/>
    <w:rsid w:val="0004654D"/>
    <w:pPr>
      <w:tabs>
        <w:tab w:val="center" w:pos="4252"/>
        <w:tab w:val="right" w:pos="8504"/>
      </w:tabs>
      <w:spacing w:after="0"/>
    </w:pPr>
  </w:style>
  <w:style w:type="character" w:customStyle="1" w:styleId="PiedepginaCar">
    <w:name w:val="Pie de página Car"/>
    <w:basedOn w:val="Fuentedeprrafopredeter"/>
    <w:link w:val="Piedepgina"/>
    <w:uiPriority w:val="99"/>
    <w:rsid w:val="0004654D"/>
    <w:rPr>
      <w:rFonts w:ascii="Times New Roman" w:hAnsi="Times New Roman"/>
      <w:sz w:val="24"/>
    </w:rPr>
  </w:style>
  <w:style w:type="paragraph" w:styleId="Encabezadodetabladecontenido">
    <w:name w:val="TOC Heading"/>
    <w:basedOn w:val="Ttulo1"/>
    <w:next w:val="Normal"/>
    <w:uiPriority w:val="39"/>
    <w:unhideWhenUsed/>
    <w:qFormat/>
    <w:rsid w:val="0004654D"/>
    <w:pPr>
      <w:spacing w:before="240" w:after="0"/>
      <w:jc w:val="left"/>
      <w:outlineLvl w:val="9"/>
    </w:pPr>
    <w:rPr>
      <w:rFonts w:asciiTheme="majorHAnsi" w:hAnsiTheme="majorHAnsi"/>
      <w:b w:val="0"/>
      <w:color w:val="2E74B5" w:themeColor="accent1" w:themeShade="BF"/>
      <w:sz w:val="32"/>
      <w:lang w:val="es-ES"/>
    </w:rPr>
  </w:style>
  <w:style w:type="paragraph" w:styleId="TDC1">
    <w:name w:val="toc 1"/>
    <w:basedOn w:val="Normal"/>
    <w:next w:val="Normal"/>
    <w:autoRedefine/>
    <w:uiPriority w:val="39"/>
    <w:unhideWhenUsed/>
    <w:rsid w:val="0004654D"/>
    <w:pPr>
      <w:spacing w:after="100"/>
    </w:pPr>
  </w:style>
  <w:style w:type="paragraph" w:styleId="TDC2">
    <w:name w:val="toc 2"/>
    <w:basedOn w:val="Normal"/>
    <w:next w:val="Normal"/>
    <w:autoRedefine/>
    <w:uiPriority w:val="39"/>
    <w:unhideWhenUsed/>
    <w:rsid w:val="0004654D"/>
    <w:pPr>
      <w:spacing w:after="100"/>
      <w:ind w:left="240"/>
    </w:pPr>
  </w:style>
  <w:style w:type="paragraph" w:styleId="TDC3">
    <w:name w:val="toc 3"/>
    <w:basedOn w:val="Normal"/>
    <w:next w:val="Normal"/>
    <w:autoRedefine/>
    <w:uiPriority w:val="39"/>
    <w:unhideWhenUsed/>
    <w:rsid w:val="0004654D"/>
    <w:pPr>
      <w:spacing w:after="100"/>
      <w:ind w:left="480"/>
    </w:pPr>
  </w:style>
  <w:style w:type="character" w:customStyle="1" w:styleId="TextocomentarioCar">
    <w:name w:val="Texto comentario Car"/>
    <w:basedOn w:val="Fuentedeprrafopredeter"/>
    <w:link w:val="Textocomentario"/>
    <w:uiPriority w:val="99"/>
    <w:rsid w:val="0004654D"/>
    <w:rPr>
      <w:rFonts w:ascii="Times New Roman" w:hAnsi="Times New Roman"/>
      <w:sz w:val="20"/>
      <w:szCs w:val="20"/>
    </w:rPr>
  </w:style>
  <w:style w:type="paragraph" w:styleId="Textocomentario">
    <w:name w:val="annotation text"/>
    <w:basedOn w:val="Normal"/>
    <w:link w:val="TextocomentarioCar"/>
    <w:uiPriority w:val="99"/>
    <w:unhideWhenUsed/>
    <w:rsid w:val="0004654D"/>
    <w:rPr>
      <w:sz w:val="20"/>
      <w:szCs w:val="20"/>
    </w:rPr>
  </w:style>
  <w:style w:type="character" w:customStyle="1" w:styleId="AsuntodelcomentarioCar">
    <w:name w:val="Asunto del comentario Car"/>
    <w:basedOn w:val="TextocomentarioCar"/>
    <w:link w:val="Asuntodelcomentario"/>
    <w:uiPriority w:val="99"/>
    <w:semiHidden/>
    <w:rsid w:val="0004654D"/>
    <w:rPr>
      <w:rFonts w:ascii="Times New Roman" w:hAnsi="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04654D"/>
    <w:rPr>
      <w:b/>
      <w:bCs/>
    </w:rPr>
  </w:style>
  <w:style w:type="character" w:customStyle="1" w:styleId="TextodegloboCar">
    <w:name w:val="Texto de globo Car"/>
    <w:basedOn w:val="Fuentedeprrafopredeter"/>
    <w:link w:val="Textodeglobo"/>
    <w:uiPriority w:val="99"/>
    <w:semiHidden/>
    <w:rsid w:val="0004654D"/>
    <w:rPr>
      <w:rFonts w:ascii="Segoe UI" w:hAnsi="Segoe UI" w:cs="Segoe UI"/>
      <w:sz w:val="18"/>
      <w:szCs w:val="18"/>
    </w:rPr>
  </w:style>
  <w:style w:type="paragraph" w:styleId="Textodeglobo">
    <w:name w:val="Balloon Text"/>
    <w:basedOn w:val="Normal"/>
    <w:link w:val="TextodegloboCar"/>
    <w:uiPriority w:val="99"/>
    <w:semiHidden/>
    <w:unhideWhenUsed/>
    <w:rsid w:val="0004654D"/>
    <w:pPr>
      <w:spacing w:after="0"/>
    </w:pPr>
    <w:rPr>
      <w:rFonts w:ascii="Segoe UI" w:hAnsi="Segoe UI" w:cs="Segoe UI"/>
      <w:sz w:val="18"/>
      <w:szCs w:val="18"/>
    </w:rPr>
  </w:style>
  <w:style w:type="paragraph" w:styleId="Textonotapie">
    <w:name w:val="footnote text"/>
    <w:basedOn w:val="Normal"/>
    <w:link w:val="TextonotapieCar"/>
    <w:uiPriority w:val="99"/>
    <w:semiHidden/>
    <w:unhideWhenUsed/>
    <w:rsid w:val="0004654D"/>
    <w:pPr>
      <w:spacing w:after="0"/>
      <w:ind w:firstLine="0"/>
    </w:pPr>
    <w:rPr>
      <w:sz w:val="20"/>
      <w:szCs w:val="20"/>
    </w:rPr>
  </w:style>
  <w:style w:type="character" w:customStyle="1" w:styleId="TextonotapieCar">
    <w:name w:val="Texto nota pie Car"/>
    <w:basedOn w:val="Fuentedeprrafopredeter"/>
    <w:link w:val="Textonotapie"/>
    <w:uiPriority w:val="99"/>
    <w:semiHidden/>
    <w:rsid w:val="0004654D"/>
    <w:rPr>
      <w:rFonts w:ascii="Times New Roman" w:hAnsi="Times New Roman"/>
      <w:sz w:val="20"/>
      <w:szCs w:val="20"/>
    </w:rPr>
  </w:style>
  <w:style w:type="character" w:styleId="Refdecomentario">
    <w:name w:val="annotation reference"/>
    <w:basedOn w:val="Fuentedeprrafopredeter"/>
    <w:uiPriority w:val="99"/>
    <w:semiHidden/>
    <w:unhideWhenUsed/>
    <w:rsid w:val="007C2553"/>
    <w:rPr>
      <w:sz w:val="16"/>
      <w:szCs w:val="16"/>
    </w:rPr>
  </w:style>
  <w:style w:type="paragraph" w:styleId="HTMLconformatoprevio">
    <w:name w:val="HTML Preformatted"/>
    <w:basedOn w:val="Normal"/>
    <w:link w:val="HTMLconformatoprevioCar"/>
    <w:uiPriority w:val="99"/>
    <w:semiHidden/>
    <w:unhideWhenUsed/>
    <w:rsid w:val="00ED0F0C"/>
    <w:pPr>
      <w:spacing w:after="0"/>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D0F0C"/>
    <w:rPr>
      <w:rFonts w:ascii="Consolas" w:hAnsi="Consolas"/>
      <w:sz w:val="20"/>
      <w:szCs w:val="20"/>
    </w:rPr>
  </w:style>
  <w:style w:type="paragraph" w:styleId="Mapadeldocumento">
    <w:name w:val="Document Map"/>
    <w:basedOn w:val="Normal"/>
    <w:link w:val="MapadeldocumentoCar"/>
    <w:uiPriority w:val="99"/>
    <w:semiHidden/>
    <w:unhideWhenUsed/>
    <w:rsid w:val="003F749F"/>
    <w:pPr>
      <w:spacing w:after="0"/>
    </w:pPr>
    <w:rPr>
      <w:rFonts w:ascii="Lucida Grande" w:hAnsi="Lucida Grande" w:cs="Lucida Grande"/>
      <w:szCs w:val="24"/>
    </w:rPr>
  </w:style>
  <w:style w:type="character" w:customStyle="1" w:styleId="MapadeldocumentoCar">
    <w:name w:val="Mapa del documento Car"/>
    <w:basedOn w:val="Fuentedeprrafopredeter"/>
    <w:link w:val="Mapadeldocumento"/>
    <w:uiPriority w:val="99"/>
    <w:semiHidden/>
    <w:rsid w:val="003F749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8949">
      <w:bodyDiv w:val="1"/>
      <w:marLeft w:val="0"/>
      <w:marRight w:val="0"/>
      <w:marTop w:val="0"/>
      <w:marBottom w:val="0"/>
      <w:divBdr>
        <w:top w:val="none" w:sz="0" w:space="0" w:color="auto"/>
        <w:left w:val="none" w:sz="0" w:space="0" w:color="auto"/>
        <w:bottom w:val="none" w:sz="0" w:space="0" w:color="auto"/>
        <w:right w:val="none" w:sz="0" w:space="0" w:color="auto"/>
      </w:divBdr>
    </w:div>
    <w:div w:id="204144842">
      <w:bodyDiv w:val="1"/>
      <w:marLeft w:val="0"/>
      <w:marRight w:val="0"/>
      <w:marTop w:val="0"/>
      <w:marBottom w:val="0"/>
      <w:divBdr>
        <w:top w:val="none" w:sz="0" w:space="0" w:color="auto"/>
        <w:left w:val="none" w:sz="0" w:space="0" w:color="auto"/>
        <w:bottom w:val="none" w:sz="0" w:space="0" w:color="auto"/>
        <w:right w:val="none" w:sz="0" w:space="0" w:color="auto"/>
      </w:divBdr>
    </w:div>
    <w:div w:id="247076919">
      <w:bodyDiv w:val="1"/>
      <w:marLeft w:val="0"/>
      <w:marRight w:val="0"/>
      <w:marTop w:val="0"/>
      <w:marBottom w:val="0"/>
      <w:divBdr>
        <w:top w:val="none" w:sz="0" w:space="0" w:color="auto"/>
        <w:left w:val="none" w:sz="0" w:space="0" w:color="auto"/>
        <w:bottom w:val="none" w:sz="0" w:space="0" w:color="auto"/>
        <w:right w:val="none" w:sz="0" w:space="0" w:color="auto"/>
      </w:divBdr>
    </w:div>
    <w:div w:id="253438509">
      <w:bodyDiv w:val="1"/>
      <w:marLeft w:val="0"/>
      <w:marRight w:val="0"/>
      <w:marTop w:val="0"/>
      <w:marBottom w:val="0"/>
      <w:divBdr>
        <w:top w:val="none" w:sz="0" w:space="0" w:color="auto"/>
        <w:left w:val="none" w:sz="0" w:space="0" w:color="auto"/>
        <w:bottom w:val="none" w:sz="0" w:space="0" w:color="auto"/>
        <w:right w:val="none" w:sz="0" w:space="0" w:color="auto"/>
      </w:divBdr>
    </w:div>
    <w:div w:id="286550686">
      <w:bodyDiv w:val="1"/>
      <w:marLeft w:val="0"/>
      <w:marRight w:val="0"/>
      <w:marTop w:val="0"/>
      <w:marBottom w:val="0"/>
      <w:divBdr>
        <w:top w:val="none" w:sz="0" w:space="0" w:color="auto"/>
        <w:left w:val="none" w:sz="0" w:space="0" w:color="auto"/>
        <w:bottom w:val="none" w:sz="0" w:space="0" w:color="auto"/>
        <w:right w:val="none" w:sz="0" w:space="0" w:color="auto"/>
      </w:divBdr>
    </w:div>
    <w:div w:id="295722072">
      <w:bodyDiv w:val="1"/>
      <w:marLeft w:val="0"/>
      <w:marRight w:val="0"/>
      <w:marTop w:val="0"/>
      <w:marBottom w:val="0"/>
      <w:divBdr>
        <w:top w:val="none" w:sz="0" w:space="0" w:color="auto"/>
        <w:left w:val="none" w:sz="0" w:space="0" w:color="auto"/>
        <w:bottom w:val="none" w:sz="0" w:space="0" w:color="auto"/>
        <w:right w:val="none" w:sz="0" w:space="0" w:color="auto"/>
      </w:divBdr>
    </w:div>
    <w:div w:id="313536013">
      <w:bodyDiv w:val="1"/>
      <w:marLeft w:val="0"/>
      <w:marRight w:val="0"/>
      <w:marTop w:val="0"/>
      <w:marBottom w:val="0"/>
      <w:divBdr>
        <w:top w:val="none" w:sz="0" w:space="0" w:color="auto"/>
        <w:left w:val="none" w:sz="0" w:space="0" w:color="auto"/>
        <w:bottom w:val="none" w:sz="0" w:space="0" w:color="auto"/>
        <w:right w:val="none" w:sz="0" w:space="0" w:color="auto"/>
      </w:divBdr>
    </w:div>
    <w:div w:id="349332447">
      <w:bodyDiv w:val="1"/>
      <w:marLeft w:val="0"/>
      <w:marRight w:val="0"/>
      <w:marTop w:val="0"/>
      <w:marBottom w:val="0"/>
      <w:divBdr>
        <w:top w:val="none" w:sz="0" w:space="0" w:color="auto"/>
        <w:left w:val="none" w:sz="0" w:space="0" w:color="auto"/>
        <w:bottom w:val="none" w:sz="0" w:space="0" w:color="auto"/>
        <w:right w:val="none" w:sz="0" w:space="0" w:color="auto"/>
      </w:divBdr>
    </w:div>
    <w:div w:id="381831535">
      <w:bodyDiv w:val="1"/>
      <w:marLeft w:val="0"/>
      <w:marRight w:val="0"/>
      <w:marTop w:val="0"/>
      <w:marBottom w:val="0"/>
      <w:divBdr>
        <w:top w:val="none" w:sz="0" w:space="0" w:color="auto"/>
        <w:left w:val="none" w:sz="0" w:space="0" w:color="auto"/>
        <w:bottom w:val="none" w:sz="0" w:space="0" w:color="auto"/>
        <w:right w:val="none" w:sz="0" w:space="0" w:color="auto"/>
      </w:divBdr>
    </w:div>
    <w:div w:id="456068751">
      <w:bodyDiv w:val="1"/>
      <w:marLeft w:val="0"/>
      <w:marRight w:val="0"/>
      <w:marTop w:val="0"/>
      <w:marBottom w:val="0"/>
      <w:divBdr>
        <w:top w:val="none" w:sz="0" w:space="0" w:color="auto"/>
        <w:left w:val="none" w:sz="0" w:space="0" w:color="auto"/>
        <w:bottom w:val="none" w:sz="0" w:space="0" w:color="auto"/>
        <w:right w:val="none" w:sz="0" w:space="0" w:color="auto"/>
      </w:divBdr>
    </w:div>
    <w:div w:id="462770734">
      <w:bodyDiv w:val="1"/>
      <w:marLeft w:val="0"/>
      <w:marRight w:val="0"/>
      <w:marTop w:val="0"/>
      <w:marBottom w:val="0"/>
      <w:divBdr>
        <w:top w:val="none" w:sz="0" w:space="0" w:color="auto"/>
        <w:left w:val="none" w:sz="0" w:space="0" w:color="auto"/>
        <w:bottom w:val="none" w:sz="0" w:space="0" w:color="auto"/>
        <w:right w:val="none" w:sz="0" w:space="0" w:color="auto"/>
      </w:divBdr>
      <w:divsChild>
        <w:div w:id="498236989">
          <w:marLeft w:val="0"/>
          <w:marRight w:val="0"/>
          <w:marTop w:val="0"/>
          <w:marBottom w:val="0"/>
          <w:divBdr>
            <w:top w:val="none" w:sz="0" w:space="0" w:color="auto"/>
            <w:left w:val="none" w:sz="0" w:space="0" w:color="auto"/>
            <w:bottom w:val="none" w:sz="0" w:space="0" w:color="auto"/>
            <w:right w:val="none" w:sz="0" w:space="0" w:color="auto"/>
          </w:divBdr>
        </w:div>
      </w:divsChild>
    </w:div>
    <w:div w:id="590747045">
      <w:bodyDiv w:val="1"/>
      <w:marLeft w:val="0"/>
      <w:marRight w:val="0"/>
      <w:marTop w:val="0"/>
      <w:marBottom w:val="0"/>
      <w:divBdr>
        <w:top w:val="none" w:sz="0" w:space="0" w:color="auto"/>
        <w:left w:val="none" w:sz="0" w:space="0" w:color="auto"/>
        <w:bottom w:val="none" w:sz="0" w:space="0" w:color="auto"/>
        <w:right w:val="none" w:sz="0" w:space="0" w:color="auto"/>
      </w:divBdr>
    </w:div>
    <w:div w:id="670180635">
      <w:bodyDiv w:val="1"/>
      <w:marLeft w:val="0"/>
      <w:marRight w:val="0"/>
      <w:marTop w:val="0"/>
      <w:marBottom w:val="0"/>
      <w:divBdr>
        <w:top w:val="none" w:sz="0" w:space="0" w:color="auto"/>
        <w:left w:val="none" w:sz="0" w:space="0" w:color="auto"/>
        <w:bottom w:val="none" w:sz="0" w:space="0" w:color="auto"/>
        <w:right w:val="none" w:sz="0" w:space="0" w:color="auto"/>
      </w:divBdr>
    </w:div>
    <w:div w:id="775950334">
      <w:bodyDiv w:val="1"/>
      <w:marLeft w:val="0"/>
      <w:marRight w:val="0"/>
      <w:marTop w:val="0"/>
      <w:marBottom w:val="0"/>
      <w:divBdr>
        <w:top w:val="none" w:sz="0" w:space="0" w:color="auto"/>
        <w:left w:val="none" w:sz="0" w:space="0" w:color="auto"/>
        <w:bottom w:val="none" w:sz="0" w:space="0" w:color="auto"/>
        <w:right w:val="none" w:sz="0" w:space="0" w:color="auto"/>
      </w:divBdr>
    </w:div>
    <w:div w:id="887760821">
      <w:bodyDiv w:val="1"/>
      <w:marLeft w:val="0"/>
      <w:marRight w:val="0"/>
      <w:marTop w:val="0"/>
      <w:marBottom w:val="0"/>
      <w:divBdr>
        <w:top w:val="none" w:sz="0" w:space="0" w:color="auto"/>
        <w:left w:val="none" w:sz="0" w:space="0" w:color="auto"/>
        <w:bottom w:val="none" w:sz="0" w:space="0" w:color="auto"/>
        <w:right w:val="none" w:sz="0" w:space="0" w:color="auto"/>
      </w:divBdr>
      <w:divsChild>
        <w:div w:id="542408477">
          <w:marLeft w:val="0"/>
          <w:marRight w:val="0"/>
          <w:marTop w:val="0"/>
          <w:marBottom w:val="0"/>
          <w:divBdr>
            <w:top w:val="none" w:sz="0" w:space="0" w:color="auto"/>
            <w:left w:val="none" w:sz="0" w:space="0" w:color="auto"/>
            <w:bottom w:val="none" w:sz="0" w:space="0" w:color="auto"/>
            <w:right w:val="none" w:sz="0" w:space="0" w:color="auto"/>
          </w:divBdr>
        </w:div>
      </w:divsChild>
    </w:div>
    <w:div w:id="932278092">
      <w:bodyDiv w:val="1"/>
      <w:marLeft w:val="0"/>
      <w:marRight w:val="0"/>
      <w:marTop w:val="0"/>
      <w:marBottom w:val="0"/>
      <w:divBdr>
        <w:top w:val="none" w:sz="0" w:space="0" w:color="auto"/>
        <w:left w:val="none" w:sz="0" w:space="0" w:color="auto"/>
        <w:bottom w:val="none" w:sz="0" w:space="0" w:color="auto"/>
        <w:right w:val="none" w:sz="0" w:space="0" w:color="auto"/>
      </w:divBdr>
    </w:div>
    <w:div w:id="934705297">
      <w:bodyDiv w:val="1"/>
      <w:marLeft w:val="0"/>
      <w:marRight w:val="0"/>
      <w:marTop w:val="0"/>
      <w:marBottom w:val="0"/>
      <w:divBdr>
        <w:top w:val="none" w:sz="0" w:space="0" w:color="auto"/>
        <w:left w:val="none" w:sz="0" w:space="0" w:color="auto"/>
        <w:bottom w:val="none" w:sz="0" w:space="0" w:color="auto"/>
        <w:right w:val="none" w:sz="0" w:space="0" w:color="auto"/>
      </w:divBdr>
    </w:div>
    <w:div w:id="1003704941">
      <w:bodyDiv w:val="1"/>
      <w:marLeft w:val="0"/>
      <w:marRight w:val="0"/>
      <w:marTop w:val="0"/>
      <w:marBottom w:val="0"/>
      <w:divBdr>
        <w:top w:val="none" w:sz="0" w:space="0" w:color="auto"/>
        <w:left w:val="none" w:sz="0" w:space="0" w:color="auto"/>
        <w:bottom w:val="none" w:sz="0" w:space="0" w:color="auto"/>
        <w:right w:val="none" w:sz="0" w:space="0" w:color="auto"/>
      </w:divBdr>
    </w:div>
    <w:div w:id="1025208175">
      <w:bodyDiv w:val="1"/>
      <w:marLeft w:val="0"/>
      <w:marRight w:val="0"/>
      <w:marTop w:val="0"/>
      <w:marBottom w:val="0"/>
      <w:divBdr>
        <w:top w:val="none" w:sz="0" w:space="0" w:color="auto"/>
        <w:left w:val="none" w:sz="0" w:space="0" w:color="auto"/>
        <w:bottom w:val="none" w:sz="0" w:space="0" w:color="auto"/>
        <w:right w:val="none" w:sz="0" w:space="0" w:color="auto"/>
      </w:divBdr>
    </w:div>
    <w:div w:id="1042439769">
      <w:bodyDiv w:val="1"/>
      <w:marLeft w:val="0"/>
      <w:marRight w:val="0"/>
      <w:marTop w:val="0"/>
      <w:marBottom w:val="0"/>
      <w:divBdr>
        <w:top w:val="none" w:sz="0" w:space="0" w:color="auto"/>
        <w:left w:val="none" w:sz="0" w:space="0" w:color="auto"/>
        <w:bottom w:val="none" w:sz="0" w:space="0" w:color="auto"/>
        <w:right w:val="none" w:sz="0" w:space="0" w:color="auto"/>
      </w:divBdr>
    </w:div>
    <w:div w:id="1081220304">
      <w:bodyDiv w:val="1"/>
      <w:marLeft w:val="0"/>
      <w:marRight w:val="0"/>
      <w:marTop w:val="0"/>
      <w:marBottom w:val="0"/>
      <w:divBdr>
        <w:top w:val="none" w:sz="0" w:space="0" w:color="auto"/>
        <w:left w:val="none" w:sz="0" w:space="0" w:color="auto"/>
        <w:bottom w:val="none" w:sz="0" w:space="0" w:color="auto"/>
        <w:right w:val="none" w:sz="0" w:space="0" w:color="auto"/>
      </w:divBdr>
    </w:div>
    <w:div w:id="1085766932">
      <w:bodyDiv w:val="1"/>
      <w:marLeft w:val="0"/>
      <w:marRight w:val="0"/>
      <w:marTop w:val="0"/>
      <w:marBottom w:val="0"/>
      <w:divBdr>
        <w:top w:val="none" w:sz="0" w:space="0" w:color="auto"/>
        <w:left w:val="none" w:sz="0" w:space="0" w:color="auto"/>
        <w:bottom w:val="none" w:sz="0" w:space="0" w:color="auto"/>
        <w:right w:val="none" w:sz="0" w:space="0" w:color="auto"/>
      </w:divBdr>
    </w:div>
    <w:div w:id="1130055476">
      <w:bodyDiv w:val="1"/>
      <w:marLeft w:val="0"/>
      <w:marRight w:val="0"/>
      <w:marTop w:val="0"/>
      <w:marBottom w:val="0"/>
      <w:divBdr>
        <w:top w:val="none" w:sz="0" w:space="0" w:color="auto"/>
        <w:left w:val="none" w:sz="0" w:space="0" w:color="auto"/>
        <w:bottom w:val="none" w:sz="0" w:space="0" w:color="auto"/>
        <w:right w:val="none" w:sz="0" w:space="0" w:color="auto"/>
      </w:divBdr>
    </w:div>
    <w:div w:id="1152868401">
      <w:bodyDiv w:val="1"/>
      <w:marLeft w:val="0"/>
      <w:marRight w:val="0"/>
      <w:marTop w:val="0"/>
      <w:marBottom w:val="0"/>
      <w:divBdr>
        <w:top w:val="none" w:sz="0" w:space="0" w:color="auto"/>
        <w:left w:val="none" w:sz="0" w:space="0" w:color="auto"/>
        <w:bottom w:val="none" w:sz="0" w:space="0" w:color="auto"/>
        <w:right w:val="none" w:sz="0" w:space="0" w:color="auto"/>
      </w:divBdr>
    </w:div>
    <w:div w:id="1184130695">
      <w:bodyDiv w:val="1"/>
      <w:marLeft w:val="0"/>
      <w:marRight w:val="0"/>
      <w:marTop w:val="0"/>
      <w:marBottom w:val="0"/>
      <w:divBdr>
        <w:top w:val="none" w:sz="0" w:space="0" w:color="auto"/>
        <w:left w:val="none" w:sz="0" w:space="0" w:color="auto"/>
        <w:bottom w:val="none" w:sz="0" w:space="0" w:color="auto"/>
        <w:right w:val="none" w:sz="0" w:space="0" w:color="auto"/>
      </w:divBdr>
    </w:div>
    <w:div w:id="1201093845">
      <w:bodyDiv w:val="1"/>
      <w:marLeft w:val="0"/>
      <w:marRight w:val="0"/>
      <w:marTop w:val="0"/>
      <w:marBottom w:val="0"/>
      <w:divBdr>
        <w:top w:val="none" w:sz="0" w:space="0" w:color="auto"/>
        <w:left w:val="none" w:sz="0" w:space="0" w:color="auto"/>
        <w:bottom w:val="none" w:sz="0" w:space="0" w:color="auto"/>
        <w:right w:val="none" w:sz="0" w:space="0" w:color="auto"/>
      </w:divBdr>
    </w:div>
    <w:div w:id="1565750033">
      <w:bodyDiv w:val="1"/>
      <w:marLeft w:val="0"/>
      <w:marRight w:val="0"/>
      <w:marTop w:val="0"/>
      <w:marBottom w:val="0"/>
      <w:divBdr>
        <w:top w:val="none" w:sz="0" w:space="0" w:color="auto"/>
        <w:left w:val="none" w:sz="0" w:space="0" w:color="auto"/>
        <w:bottom w:val="none" w:sz="0" w:space="0" w:color="auto"/>
        <w:right w:val="none" w:sz="0" w:space="0" w:color="auto"/>
      </w:divBdr>
    </w:div>
    <w:div w:id="1607152454">
      <w:bodyDiv w:val="1"/>
      <w:marLeft w:val="0"/>
      <w:marRight w:val="0"/>
      <w:marTop w:val="0"/>
      <w:marBottom w:val="0"/>
      <w:divBdr>
        <w:top w:val="none" w:sz="0" w:space="0" w:color="auto"/>
        <w:left w:val="none" w:sz="0" w:space="0" w:color="auto"/>
        <w:bottom w:val="none" w:sz="0" w:space="0" w:color="auto"/>
        <w:right w:val="none" w:sz="0" w:space="0" w:color="auto"/>
      </w:divBdr>
    </w:div>
    <w:div w:id="1701128309">
      <w:bodyDiv w:val="1"/>
      <w:marLeft w:val="0"/>
      <w:marRight w:val="0"/>
      <w:marTop w:val="0"/>
      <w:marBottom w:val="0"/>
      <w:divBdr>
        <w:top w:val="none" w:sz="0" w:space="0" w:color="auto"/>
        <w:left w:val="none" w:sz="0" w:space="0" w:color="auto"/>
        <w:bottom w:val="none" w:sz="0" w:space="0" w:color="auto"/>
        <w:right w:val="none" w:sz="0" w:space="0" w:color="auto"/>
      </w:divBdr>
    </w:div>
    <w:div w:id="1765153851">
      <w:bodyDiv w:val="1"/>
      <w:marLeft w:val="0"/>
      <w:marRight w:val="0"/>
      <w:marTop w:val="0"/>
      <w:marBottom w:val="0"/>
      <w:divBdr>
        <w:top w:val="none" w:sz="0" w:space="0" w:color="auto"/>
        <w:left w:val="none" w:sz="0" w:space="0" w:color="auto"/>
        <w:bottom w:val="none" w:sz="0" w:space="0" w:color="auto"/>
        <w:right w:val="none" w:sz="0" w:space="0" w:color="auto"/>
      </w:divBdr>
    </w:div>
    <w:div w:id="1767923454">
      <w:bodyDiv w:val="1"/>
      <w:marLeft w:val="0"/>
      <w:marRight w:val="0"/>
      <w:marTop w:val="0"/>
      <w:marBottom w:val="0"/>
      <w:divBdr>
        <w:top w:val="none" w:sz="0" w:space="0" w:color="auto"/>
        <w:left w:val="none" w:sz="0" w:space="0" w:color="auto"/>
        <w:bottom w:val="none" w:sz="0" w:space="0" w:color="auto"/>
        <w:right w:val="none" w:sz="0" w:space="0" w:color="auto"/>
      </w:divBdr>
    </w:div>
    <w:div w:id="1778064776">
      <w:bodyDiv w:val="1"/>
      <w:marLeft w:val="0"/>
      <w:marRight w:val="0"/>
      <w:marTop w:val="0"/>
      <w:marBottom w:val="0"/>
      <w:divBdr>
        <w:top w:val="none" w:sz="0" w:space="0" w:color="auto"/>
        <w:left w:val="none" w:sz="0" w:space="0" w:color="auto"/>
        <w:bottom w:val="none" w:sz="0" w:space="0" w:color="auto"/>
        <w:right w:val="none" w:sz="0" w:space="0" w:color="auto"/>
      </w:divBdr>
    </w:div>
    <w:div w:id="1812868222">
      <w:bodyDiv w:val="1"/>
      <w:marLeft w:val="0"/>
      <w:marRight w:val="0"/>
      <w:marTop w:val="0"/>
      <w:marBottom w:val="0"/>
      <w:divBdr>
        <w:top w:val="none" w:sz="0" w:space="0" w:color="auto"/>
        <w:left w:val="none" w:sz="0" w:space="0" w:color="auto"/>
        <w:bottom w:val="none" w:sz="0" w:space="0" w:color="auto"/>
        <w:right w:val="none" w:sz="0" w:space="0" w:color="auto"/>
      </w:divBdr>
    </w:div>
    <w:div w:id="1820877566">
      <w:bodyDiv w:val="1"/>
      <w:marLeft w:val="0"/>
      <w:marRight w:val="0"/>
      <w:marTop w:val="0"/>
      <w:marBottom w:val="0"/>
      <w:divBdr>
        <w:top w:val="none" w:sz="0" w:space="0" w:color="auto"/>
        <w:left w:val="none" w:sz="0" w:space="0" w:color="auto"/>
        <w:bottom w:val="none" w:sz="0" w:space="0" w:color="auto"/>
        <w:right w:val="none" w:sz="0" w:space="0" w:color="auto"/>
      </w:divBdr>
    </w:div>
    <w:div w:id="1981183165">
      <w:bodyDiv w:val="1"/>
      <w:marLeft w:val="0"/>
      <w:marRight w:val="0"/>
      <w:marTop w:val="0"/>
      <w:marBottom w:val="0"/>
      <w:divBdr>
        <w:top w:val="none" w:sz="0" w:space="0" w:color="auto"/>
        <w:left w:val="none" w:sz="0" w:space="0" w:color="auto"/>
        <w:bottom w:val="none" w:sz="0" w:space="0" w:color="auto"/>
        <w:right w:val="none" w:sz="0" w:space="0" w:color="auto"/>
      </w:divBdr>
    </w:div>
    <w:div w:id="212260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Car10</b:Tag>
    <b:SourceType>JournalArticle</b:SourceType>
    <b:Guid>{0D3CF619-E1C2-41BE-8E5B-F3638A44E7B0}</b:Guid>
    <b:Title>Gibrat`s law and the learning process</b:Title>
    <b:JournalName>Small Business Economics</b:JournalName>
    <b:Year>2010</b:Year>
    <b:Pages>355-373</b:Pages>
    <b:Author>
      <b:Author>
        <b:NameList>
          <b:Person>
            <b:Last>Carrisoza</b:Last>
            <b:First>Mercedes</b:First>
          </b:Person>
        </b:NameList>
      </b:Author>
    </b:Author>
    <b:Volume>34</b:Volume>
    <b:Issue>4</b:Issue>
    <b:RefOrder>3</b:RefOrder>
  </b:Source>
  <b:Source>
    <b:Tag>Jan11</b:Tag>
    <b:SourceType>JournalArticle</b:SourceType>
    <b:Guid>{82CEE6EC-B35C-4A33-890C-7C3EEE249A7A}</b:Guid>
    <b:Title>Inter-relationship between firm growth and profitability</b:Title>
    <b:JournalName>International Journal  of Hospitality Management</b:JournalName>
    <b:Year>2011</b:Year>
    <b:Pages>1027-1035</b:Pages>
    <b:Author>
      <b:Author>
        <b:NameList>
          <b:Person>
            <b:Last>Jang</b:Last>
            <b:First>SooCheong</b:First>
          </b:Person>
          <b:Person>
            <b:Last>Park</b:Last>
            <b:First>Kwangmin</b:First>
          </b:Person>
        </b:NameList>
      </b:Author>
    </b:Author>
    <b:Volume>30</b:Volume>
    <b:RefOrder>4</b:RefOrder>
  </b:Source>
  <b:Source>
    <b:Tag>Mir17</b:Tag>
    <b:SourceType>JournalArticle</b:SourceType>
    <b:Guid>{F3D03D32-A6F6-41DC-85EA-B75B8DD69C8B}</b:Guid>
    <b:Title>Empresas tecnológicas y políticas públicas de desarrollo regional en Brasil</b:Title>
    <b:Year>2017</b:Year>
    <b:JournalName>Revista problemas del desarrollo</b:JournalName>
    <b:Pages>61-82</b:Pages>
    <b:Author>
      <b:Author>
        <b:NameList>
          <b:Person>
            <b:Last>Miralles</b:Last>
            <b:First>María</b:First>
          </b:Person>
          <b:Person>
            <b:Last>Miralles</b:Last>
            <b:First>José</b:First>
          </b:Person>
          <b:Person>
            <b:Last>Daza</b:Last>
            <b:First>Julio</b:First>
          </b:Person>
        </b:NameList>
      </b:Author>
    </b:Author>
    <b:Volume>190</b:Volume>
    <b:Issue>48</b:Issue>
    <b:RefOrder>5</b:RefOrder>
  </b:Source>
  <b:Source>
    <b:Tag>Sim17</b:Tag>
    <b:SourceType>JournalArticle</b:SourceType>
    <b:Guid>{15932E8F-7B5F-4AFE-B926-9C5EB7C182B0}</b:Guid>
    <b:Title>Growth determinants in Ecuadorian companies</b:Title>
    <b:JournalName>European Journal of Applied Business Management</b:JournalName>
    <b:Year>2017</b:Year>
    <b:Pages>120-135</b:Pages>
    <b:Author>
      <b:Author>
        <b:NameList>
          <b:Person>
            <b:Last>Simbaña</b:Last>
            <b:First>Luis</b:First>
          </b:Person>
          <b:Person>
            <b:Last>Rodríguez</b:Last>
            <b:First>María</b:First>
          </b:Person>
          <b:Person>
            <b:Last>Rodeiro</b:Last>
            <b:First>David</b:First>
          </b:Person>
        </b:NameList>
      </b:Author>
    </b:Author>
    <b:Volume>3</b:Volume>
    <b:Issue>3</b:Issue>
    <b:RefOrder>6</b:RefOrder>
  </b:Source>
  <b:Source>
    <b:Tag>Nas14</b:Tag>
    <b:SourceType>JournalArticle</b:SourceType>
    <b:Guid>{FDFF09FA-0907-4EE7-B12F-8E5A68DD68F2}</b:Guid>
    <b:Title>The validity of Gibrat's law in developed and developing countries (2008-2013): Comparison Based Assessment</b:Title>
    <b:JournalName>Procedia Social and Behavioral Sciences</b:JournalName>
    <b:Year>2014</b:Year>
    <b:Pages>266–273</b:Pages>
    <b:Author>
      <b:Author>
        <b:NameList>
          <b:Person>
            <b:Last>Nassar</b:Last>
            <b:First>Islam</b:First>
          </b:Person>
          <b:Person>
            <b:Last>Almasafir</b:Last>
            <b:First>Mahmoud</b:First>
          </b:Person>
          <b:Person>
            <b:Last>Al-Mahrouq</b:Last>
            <b:First>Maher</b:First>
          </b:Person>
        </b:NameList>
      </b:Author>
    </b:Author>
    <b:Volume>129</b:Volume>
    <b:RefOrder>7</b:RefOrder>
  </b:Source>
  <b:Source>
    <b:Tag>INE17</b:Tag>
    <b:SourceType>JournalArticle</b:SourceType>
    <b:Guid>{F0737F1C-836C-429A-B520-69ECB36F0958}</b:Guid>
    <b:Title>Panorama laboral y empresarial del Ecuador</b:Title>
    <b:Year>2017</b:Year>
    <b:Author>
      <b:Author>
        <b:NameList>
          <b:Person>
            <b:Last>INEC</b:Last>
            <b:First>Instituto</b:First>
            <b:Middle>Nacional de Estadísticas y Censos</b:Middle>
          </b:Person>
        </b:NameList>
      </b:Author>
    </b:Author>
    <b:RefOrder>8</b:RefOrder>
  </b:Source>
  <b:Source>
    <b:Tag>Jác</b:Tag>
    <b:SourceType>Book</b:SourceType>
    <b:Guid>{0E51B115-53FF-44FB-B6A6-719935DE2DA7}</b:Guid>
    <b:Title>Estudios industriales de la micro, pequeña y mediana mepresa</b:Title>
    <b:Author>
      <b:Author>
        <b:NameList>
          <b:Person>
            <b:Last>Jácome</b:Last>
            <b:First>Hugo</b:First>
          </b:Person>
          <b:Person>
            <b:Last>King</b:Last>
            <b:First>Katiuska</b:First>
          </b:Person>
        </b:NameList>
      </b:Author>
      <b:Editor>
        <b:NameList>
          <b:Person>
            <b:Last>(MIPRO)</b:Last>
            <b:First>Ministerio</b:First>
            <b:Middle>de Industrias y Productividad</b:Middle>
          </b:Person>
        </b:NameList>
      </b:Editor>
    </b:Author>
    <b:Year>2013</b:Year>
    <b:City>Quito</b:City>
    <b:Publisher>FLACSO, Sede Ecuador</b:Publisher>
    <b:RefOrder>9</b:RefOrder>
  </b:Source>
  <b:Source>
    <b:Tag>Amo17</b:Tag>
    <b:SourceType>JournalArticle</b:SourceType>
    <b:Guid>{C49A34C4-7EFC-4D83-9C95-C1E82590E79B}</b:Guid>
    <b:Title>Las PYMES ecuatorianas: su impacto en el empleo como contribución del PIB PYMES al PIB total</b:Title>
    <b:JournalName>Espacios</b:JournalName>
    <b:Year>2017</b:Year>
    <b:Pages>15</b:Pages>
    <b:Author>
      <b:Author>
        <b:NameList>
          <b:Person>
            <b:Last>Amores</b:Last>
            <b:Middle>Eduardo</b:Middle>
            <b:First>Rafael</b:First>
          </b:Person>
          <b:Person>
            <b:Last>Castillo</b:Last>
            <b:Middle>Alexandra</b:Middle>
            <b:First>Viviana</b:First>
          </b:Person>
        </b:NameList>
      </b:Author>
    </b:Author>
    <b:Volume>38</b:Volume>
    <b:Issue>53</b:Issue>
    <b:RefOrder>10</b:RefOrder>
  </b:Source>
  <b:Source>
    <b:Tag>Seg14</b:Tag>
    <b:SourceType>JournalArticle</b:SourceType>
    <b:Guid>{EB17ACA4-4762-4CD3-82CA-4D2EDBB8E4BF}</b:Guid>
    <b:Title>High-growth firms and innovation: an empirical analysis for Spanish firms</b:Title>
    <b:JournalName>Small Business Economics</b:JournalName>
    <b:Year>2014</b:Year>
    <b:Pages>805-821</b:Pages>
    <b:Author>
      <b:Author>
        <b:NameList>
          <b:Person>
            <b:Last>Segarra</b:Last>
            <b:First>Agustí</b:First>
          </b:Person>
          <b:Person>
            <b:Last>Teruel</b:Last>
            <b:First>Mercedes</b:First>
          </b:Person>
        </b:NameList>
      </b:Author>
    </b:Author>
    <b:Volume>43</b:Volume>
    <b:Issue>4</b:Issue>
    <b:RefOrder>11</b:RefOrder>
  </b:Source>
  <b:Source>
    <b:Tag>Daz15</b:Tag>
    <b:SourceType>JournalArticle</b:SourceType>
    <b:Guid>{AE1150F6-99FD-4D2A-B043-D3B26CA04993}</b:Guid>
    <b:Title>La ley de Gibrat en las economias emergentes: el caso de Brasil</b:Title>
    <b:Year>2015</b:Year>
    <b:Author>
      <b:Author>
        <b:NameList>
          <b:Person>
            <b:Last>Daza</b:Last>
            <b:First>Julio</b:First>
          </b:Person>
        </b:NameList>
      </b:Author>
    </b:Author>
    <b:RefOrder>12</b:RefOrder>
  </b:Source>
  <b:Source>
    <b:Tag>Dau13</b:Tag>
    <b:SourceType>JournalArticle</b:SourceType>
    <b:Guid>{B362BE99-0DC3-40F7-8759-DEFBAAE3F9FB}</b:Guid>
    <b:Title>When is Gibrat's law a law?</b:Title>
    <b:JournalName>Small Business Economics</b:JournalName>
    <b:Year>2013</b:Year>
    <b:Pages>133-147</b:Pages>
    <b:Author>
      <b:Author>
        <b:NameList>
          <b:Person>
            <b:Last>Daunfeldt</b:Last>
            <b:Middle>Olov</b:Middle>
            <b:First>Sven</b:First>
          </b:Person>
          <b:Person>
            <b:Last>Elert</b:Last>
            <b:First>Niklas</b:First>
          </b:Person>
        </b:NameList>
      </b:Author>
    </b:Author>
    <b:Volume>41</b:Volume>
    <b:Issue>1</b:Issue>
    <b:RefOrder>13</b:RefOrder>
  </b:Source>
  <b:Source>
    <b:Tag>Aco01</b:Tag>
    <b:SourceType>JournalArticle</b:SourceType>
    <b:Guid>{2A6BBC0C-EEF7-49E9-BF13-135124988BEF}</b:Guid>
    <b:Title>Crecimiento en la pyme canaria: influencia del tamaño, la edad y el sector de actividad</b:Title>
    <b:Year>2001</b:Year>
    <b:Pages>Documento de trabajo, 01.</b:Pages>
    <b:Author>
      <b:Author>
        <b:NameList>
          <b:Person>
            <b:Last>Acosta</b:Last>
            <b:First>Miguel</b:First>
          </b:Person>
          <b:Person>
            <b:Last>Correa</b:Last>
            <b:First>Alicia</b:First>
          </b:Person>
          <b:Person>
            <b:Last>González</b:Last>
            <b:First>Ana</b:First>
          </b:Person>
        </b:NameList>
      </b:Author>
    </b:Author>
    <b:RefOrder>14</b:RefOrder>
  </b:Source>
  <b:Source>
    <b:Tag>Gon98</b:Tag>
    <b:SourceType>JournalArticle</b:SourceType>
    <b:Guid>{F53584CA-3B1A-44A6-8BA5-EC49633413EF}</b:Guid>
    <b:Title>Crecimiento y tamaño: un estudio empírico</b:Title>
    <b:Year>1998</b:Year>
    <b:JournalName>Revista española de Financiación y Contabilidad</b:JournalName>
    <b:Pages>541-573</b:Pages>
    <b:Author>
      <b:Author>
        <b:NameList>
          <b:Person>
            <b:Last>González</b:Last>
            <b:First>Ana</b:First>
          </b:Person>
          <b:Person>
            <b:Last>Correa</b:Last>
            <b:First>Alicia</b:First>
          </b:Person>
        </b:NameList>
      </b:Author>
    </b:Author>
    <b:Volume>27</b:Volume>
    <b:Issue>95</b:Issue>
    <b:RefOrder>15</b:RefOrder>
  </b:Source>
  <b:Source>
    <b:Tag>Dau12</b:Tag>
    <b:SourceType>JournalArticle</b:SourceType>
    <b:Guid>{9CCAF8F0-A451-431D-981D-A7B821B19EB1}</b:Guid>
    <b:Title>Does Gibrat's law hold for retailing? Evidence from Sweden</b:Title>
    <b:JournalName>Journal of Retailing and Consumer Services</b:JournalName>
    <b:Year>2012</b:Year>
    <b:Pages>464-469</b:Pages>
    <b:Author>
      <b:Author>
        <b:NameList>
          <b:Person>
            <b:Last>Daunfeldt</b:Last>
            <b:Middle>Olov</b:Middle>
            <b:First>Sven</b:First>
          </b:Person>
          <b:Person>
            <b:Last>Elert</b:Last>
            <b:First>Niklas</b:First>
          </b:Person>
          <b:Person>
            <b:Last>Lang</b:Last>
            <b:First>Åsa</b:First>
          </b:Person>
        </b:NameList>
      </b:Author>
    </b:Author>
    <b:Volume>19</b:Volume>
    <b:Issue>5</b:Issue>
    <b:RefOrder>16</b:RefOrder>
  </b:Source>
  <b:Source>
    <b:Tag>Fal08</b:Tag>
    <b:SourceType>JournalArticle</b:SourceType>
    <b:Guid>{BAAB83B6-425E-4666-BCA3-A7014793A29E}</b:Guid>
    <b:Title>Testing Gibrat's Law for European Multinational Enterprises</b:Title>
    <b:JournalName>FIW Research Reports</b:JournalName>
    <b:Year>2008</b:Year>
    <b:Author>
      <b:Author>
        <b:NameList>
          <b:Person>
            <b:Last>Falk</b:Last>
            <b:First>Martin</b:First>
          </b:Person>
        </b:NameList>
      </b:Author>
    </b:Author>
    <b:Issue>No. 14</b:Issue>
    <b:RefOrder>17</b:RefOrder>
  </b:Source>
  <b:Source>
    <b:Tag>Ben12</b:Tag>
    <b:SourceType>JournalArticle</b:SourceType>
    <b:Guid>{0C7D6127-CCE9-4AF4-B593-1CBC4AC27091}</b:Guid>
    <b:Title>Do firms' growth rates depend on firm size?</b:Title>
    <b:JournalName>Small Business Economics</b:JournalName>
    <b:Year>2012</b:Year>
    <b:Pages>937-947</b:Pages>
    <b:Author>
      <b:Author>
        <b:NameList>
          <b:Person>
            <b:Last>Bentzen</b:Last>
            <b:First>Jan</b:First>
          </b:Person>
          <b:Person>
            <b:Last>Madsen</b:Last>
            <b:Middle>S</b:Middle>
            <b:First>Erik</b:First>
          </b:Person>
          <b:Person>
            <b:Last>Smith</b:Last>
            <b:First>Valdemar</b:First>
          </b:Person>
        </b:NameList>
      </b:Author>
    </b:Author>
    <b:Volume>39</b:Volume>
    <b:Issue>4</b:Issue>
    <b:RefOrder>18</b:RefOrder>
  </b:Source>
  <b:Source>
    <b:Tag>Alm15</b:Tag>
    <b:SourceType>JournalArticle</b:SourceType>
    <b:Guid>{A7963519-7A59-4F04-BDAB-1519C68AC882}</b:Guid>
    <b:Title>The Validity of Gibrat's Law: Evidence from the Service Sector in Jordan</b:Title>
    <b:JournalName>Procedia Economics and Finance</b:JournalName>
    <b:Year>2015</b:Year>
    <b:Pages>1602-1606</b:Pages>
    <b:Author>
      <b:Author>
        <b:NameList>
          <b:Person>
            <b:Last>Almsafir</b:Last>
            <b:Middle>Khalid</b:Middle>
            <b:First>Mahmoud</b:First>
          </b:Person>
          <b:Person>
            <b:Last>Nassar</b:Last>
            <b:Middle>A</b:Middle>
            <b:First>Islam</b:First>
          </b:Person>
          <b:Person>
            <b:Last>Al-Mahrouq</b:Last>
            <b:Middle>H</b:Middle>
            <b:First>Maher</b:First>
          </b:Person>
          <b:Person>
            <b:Last>Hayajneh</b:Last>
            <b:Middle>A</b:Middle>
            <b:First>Jamal</b:First>
          </b:Person>
        </b:NameList>
      </b:Author>
    </b:Author>
    <b:Volume>23</b:Volume>
    <b:RefOrder>19</b:RefOrder>
  </b:Source>
  <b:Source>
    <b:Tag>Lev10</b:Tag>
    <b:SourceType>JournalArticle</b:SourceType>
    <b:Guid>{A3B297EA-B830-4D45-A65B-3E0EF8C781C0}</b:Guid>
    <b:Title>The determinants of growth for SMEs. A longitudinal study of French manufacturing firms</b:Title>
    <b:Year>2010</b:Year>
    <b:Author>
      <b:Author>
        <b:NameList>
          <b:Person>
            <b:Last>Levratto</b:Last>
            <b:First>Nadine</b:First>
          </b:Person>
          <b:Person>
            <b:Last>Zouikri</b:Last>
            <b:First>Messaoud</b:First>
          </b:Person>
          <b:Person>
            <b:Last>Tessier</b:Last>
            <b:First>Luc</b:First>
          </b:Person>
        </b:NameList>
      </b:Author>
    </b:Author>
    <b:RefOrder>20</b:RefOrder>
  </b:Source>
  <b:Source>
    <b:Tag>Coa082</b:Tag>
    <b:SourceType>JournalArticle</b:SourceType>
    <b:Guid>{510952CB-1A28-41A5-A939-B8AF539647B6}</b:Guid>
    <b:Title>Firm growth and scaling of growth rate variance in multiplant firms</b:Title>
    <b:JournalName>Economics Bulletin</b:JournalName>
    <b:Year>2008</b:Year>
    <b:Pages>1-15</b:Pages>
    <b:Author>
      <b:Author>
        <b:NameList>
          <b:Person>
            <b:Last>Coad</b:Last>
            <b:First>Alex</b:First>
          </b:Person>
        </b:NameList>
      </b:Author>
    </b:Author>
    <b:Volume>12</b:Volume>
    <b:Issue>9</b:Issue>
    <b:RefOrder>21</b:RefOrder>
  </b:Source>
  <b:Source>
    <b:Tag>Rod16</b:Tag>
    <b:SourceType>JournalArticle</b:SourceType>
    <b:Guid>{770BF789-5741-4382-B26E-30FDCA648AF0}</b:Guid>
    <b:Title>Growth determinants in entrepreneurship: A longitudinal study of Spanish technology-based university spin-offs</b:Title>
    <b:JournalName>Journal of International Entrepreneurship</b:JournalName>
    <b:Year>2016</b:Year>
    <b:Pages>323-344</b:Pages>
    <b:Author>
      <b:Author>
        <b:NameList>
          <b:Person>
            <b:Last>Rodríguez</b:Last>
            <b:Middle>Jesús</b:Middle>
            <b:First>María</b:First>
          </b:Person>
          <b:Person>
            <b:Last>Fernández</b:Last>
            <b:First>Sara</b:First>
          </b:Person>
          <b:Person>
            <b:Last>Rodeiro</b:Last>
            <b:First>David</b:First>
          </b:Person>
        </b:NameList>
      </b:Author>
    </b:Author>
    <b:Volume>14</b:Volume>
    <b:Issue>3</b:Issue>
    <b:RefOrder>22</b:RefOrder>
  </b:Source>
  <b:Source>
    <b:Tag>Pie10</b:Tag>
    <b:SourceType>JournalArticle</b:SourceType>
    <b:Guid>{67DEF1CD-DC40-4BB2-9651-8E8C3759C854}</b:Guid>
    <b:Title>Gibrat's Law in the "Third Italy": Firm Growth in the Veneto Region</b:Title>
    <b:JournalName>Growth and Change</b:JournalName>
    <b:Year>2010</b:Year>
    <b:Pages>25-58</b:Pages>
    <b:Author>
      <b:Author>
        <b:NameList>
          <b:Person>
            <b:Last>Piergiovanni</b:Last>
            <b:First>Roberta</b:First>
          </b:Person>
        </b:NameList>
      </b:Author>
    </b:Author>
    <b:Volume>41</b:Volume>
    <b:Issue>1</b:Issue>
    <b:RefOrder>23</b:RefOrder>
  </b:Source>
  <b:Source>
    <b:Tag>Muk10</b:Tag>
    <b:SourceType>JournalArticle</b:SourceType>
    <b:Guid>{23D3FC9E-0311-48A5-8F18-0745DC41F840}</b:Guid>
    <b:Title>Profitability performance and firm size-growth relationship</b:Title>
    <b:JournalName>Journal of Business &amp; Economics Research</b:JournalName>
    <b:Year>2010</b:Year>
    <b:Pages>121</b:Pages>
    <b:Author>
      <b:Author>
        <b:NameList>
          <b:Person>
            <b:Last>Mukhopadhyay</b:Last>
            <b:First>Arun</b:First>
          </b:Person>
          <b:Person>
            <b:Last>Amirkhalkhali</b:Last>
            <b:First>Sal</b:First>
          </b:Person>
        </b:NameList>
      </b:Author>
    </b:Author>
    <b:Volume>8</b:Volume>
    <b:Issue>9</b:Issue>
    <b:RefOrder>24</b:RefOrder>
  </b:Source>
  <b:Source>
    <b:Tag>Lot09</b:Tag>
    <b:SourceType>JournalArticle</b:SourceType>
    <b:Guid>{A583EFEA-61BD-49EA-851A-29E2799F8995}</b:Guid>
    <b:Title>Defending Gibrat's Law as a long-run regularity</b:Title>
    <b:JournalName>Small Business Economis</b:JournalName>
    <b:Year>2009</b:Year>
    <b:Pages>31-44</b:Pages>
    <b:Author>
      <b:Author>
        <b:NameList>
          <b:Person>
            <b:Last>Lotti</b:Last>
            <b:First>Francesca</b:First>
          </b:Person>
          <b:Person>
            <b:Last>Santarelli</b:Last>
            <b:First>Enrico</b:First>
          </b:Person>
          <b:Person>
            <b:Last>Vivarelli</b:Last>
            <b:First>Marco</b:First>
          </b:Person>
        </b:NameList>
      </b:Author>
    </b:Author>
    <b:Volume>32</b:Volume>
    <b:Issue>1</b:Issue>
    <b:RefOrder>25</b:RefOrder>
  </b:Source>
  <b:Source>
    <b:Tag>Har05</b:Tag>
    <b:SourceType>JournalArticle</b:SourceType>
    <b:Guid>{0D731D3D-F530-4E57-8978-60211CFB8204}</b:Guid>
    <b:Title>Plant level analysis using the ARD: Another look at Gibrat's Law</b:Title>
    <b:JournalName>Scottish Journal of Political Economy</b:JournalName>
    <b:Year>2005</b:Year>
    <b:Pages>492-518</b:Pages>
    <b:Author>
      <b:Author>
        <b:NameList>
          <b:Person>
            <b:Last>Harris</b:Last>
            <b:First>Richard</b:First>
          </b:Person>
          <b:Person>
            <b:Last>Trainor</b:Last>
            <b:First>Mary</b:First>
          </b:Person>
        </b:NameList>
      </b:Author>
    </b:Author>
    <b:Volume>52</b:Volume>
    <b:Issue>3</b:Issue>
    <b:RefOrder>26</b:RefOrder>
  </b:Source>
  <b:Source>
    <b:Tag>Oli03</b:Tag>
    <b:SourceType>JournalArticle</b:SourceType>
    <b:Guid>{C2E2D0D8-30B0-4A2D-8794-01F0684FD908}</b:Guid>
    <b:Title>Testing Gibrat's Law: Empirical Evidende from a Panel og Portuguese Manufacturing Firms</b:Title>
    <b:Year>2003</b:Year>
    <b:Author>
      <b:Author>
        <b:NameList>
          <b:Person>
            <b:Last>Oliveira</b:Last>
            <b:First>Blandina</b:First>
          </b:Person>
          <b:Person>
            <b:Last>Fortunato</b:Last>
            <b:First>Adelino</b:First>
          </b:Person>
        </b:NameList>
      </b:Author>
    </b:Author>
    <b:RefOrder>27</b:RefOrder>
  </b:Source>
  <b:Source>
    <b:Tag>Pag03</b:Tag>
    <b:SourceType>JournalArticle</b:SourceType>
    <b:Guid>{350437E6-5C3E-4F48-B30B-6A58E9F91C88}</b:Guid>
    <b:Title>Firm size distribution and growth</b:Title>
    <b:JournalName>The Scansinavian Journal of Economics</b:JournalName>
    <b:Year>2003</b:Year>
    <b:Pages>255-274</b:Pages>
    <b:Author>
      <b:Author>
        <b:NameList>
          <b:Person>
            <b:Last>Pagano</b:Last>
            <b:First>Patrizio</b:First>
          </b:Person>
          <b:Person>
            <b:Last>Schivardi</b:Last>
            <b:First>Fabiano</b:First>
          </b:Person>
        </b:NameList>
      </b:Author>
    </b:Author>
    <b:Volume>105</b:Volume>
    <b:Issue>2</b:Issue>
    <b:RefOrder>28</b:RefOrder>
  </b:Source>
  <b:Source>
    <b:Tag>Bec02</b:Tag>
    <b:SourceType>JournalArticle</b:SourceType>
    <b:Guid>{1E7D68AF-A29C-40BC-9249-44EDD8D31B12}</b:Guid>
    <b:Title>The determinants of growth for small and medium sized firms. The role of the availability of external finance</b:Title>
    <b:JournalName>Small Business Economics</b:JournalName>
    <b:Year>2002</b:Year>
    <b:Pages>291-306</b:Pages>
    <b:Author>
      <b:Author>
        <b:NameList>
          <b:Person>
            <b:Last>Becchetti</b:Last>
            <b:First>Leonardo</b:First>
          </b:Person>
          <b:Person>
            <b:Last>Trovato</b:Last>
            <b:First>Giovanni</b:First>
          </b:Person>
        </b:NameList>
      </b:Author>
    </b:Author>
    <b:Volume>19</b:Volume>
    <b:Issue>4</b:Issue>
    <b:RefOrder>29</b:RefOrder>
  </b:Source>
  <b:Source>
    <b:Tag>Cef02</b:Tag>
    <b:SourceType>JournalArticle</b:SourceType>
    <b:Guid>{3CB2370D-9FBD-4A04-8C1B-86DBE2659CD4}</b:Guid>
    <b:Title>From Gibrat's legacy to Gibrat's fallacy: a Bayesian approach to study the growth of firms</b:Title>
    <b:Year>2002</b:Year>
    <b:Author>
      <b:Author>
        <b:NameList>
          <b:Person>
            <b:Last>Cefis</b:Last>
            <b:First>Elena</b:First>
          </b:Person>
          <b:Person>
            <b:Last>Ciccarelli</b:Last>
            <b:First>Matteo</b:First>
          </b:Person>
          <b:Person>
            <b:Last>Orsenigo</b:Last>
            <b:First>Luigi</b:First>
          </b:Person>
        </b:NameList>
      </b:Author>
    </b:Author>
    <b:RefOrder>30</b:RefOrder>
  </b:Source>
  <b:Source>
    <b:Tag>God02</b:Tag>
    <b:SourceType>JournalArticle</b:SourceType>
    <b:Guid>{3473955D-7DC8-488E-B60B-4E6B5499C33A}</b:Guid>
    <b:Title>Panel tests of Gibrat's law for Japanese manufacturing</b:Title>
    <b:JournalName>International Journal of Industrial Organization</b:JournalName>
    <b:Year>2002</b:Year>
    <b:Pages>415-433</b:Pages>
    <b:Author>
      <b:Author>
        <b:NameList>
          <b:Person>
            <b:Last>Goddard</b:Last>
            <b:First>John</b:First>
          </b:Person>
          <b:Person>
            <b:Last>Wilson</b:Last>
            <b:First>John</b:First>
          </b:Person>
          <b:Person>
            <b:Last>Blandon</b:Last>
            <b:First>Peter</b:First>
          </b:Person>
        </b:NameList>
      </b:Author>
    </b:Author>
    <b:Volume>20</b:Volume>
    <b:Issue>3</b:Issue>
    <b:RefOrder>31</b:RefOrder>
  </b:Source>
  <b:Source>
    <b:Tag>Alm00</b:Tag>
    <b:SourceType>JournalArticle</b:SourceType>
    <b:Guid>{54E91998-1F6F-4F87-B155-F8EFC709456E}</b:Guid>
    <b:Title>Testing "Gibrat's Law" for young firms-empirical results for West Germany</b:Title>
    <b:JournalName>Small Business Economics</b:JournalName>
    <b:Year>2000</b:Year>
    <b:Pages>1-12</b:Pages>
    <b:Author>
      <b:Author>
        <b:NameList>
          <b:Person>
            <b:Last>Almus</b:Last>
            <b:First>Matthias</b:First>
          </b:Person>
          <b:Person>
            <b:Last>Nerlinger</b:Last>
            <b:First>Eric</b:First>
          </b:Person>
        </b:NameList>
      </b:Author>
    </b:Author>
    <b:Volume>15</b:Volume>
    <b:Issue>1</b:Issue>
    <b:RefOrder>32</b:RefOrder>
  </b:Source>
  <b:Source>
    <b:Tag>Len05</b:Tag>
    <b:SourceType>JournalArticle</b:SourceType>
    <b:Guid>{141D8B9D-0E03-473B-8BA8-2547A430784B}</b:Guid>
    <b:Title>Uncertainty and Growth of the Firm</b:Title>
    <b:JournalName>Small Business Economics</b:JournalName>
    <b:Year>2005</b:Year>
    <b:Pages>381-391</b:Pages>
    <b:Author>
      <b:Author>
        <b:NameList>
          <b:Person>
            <b:Last>Lensink</b:Last>
            <b:First>Robert</b:First>
          </b:Person>
          <b:Person>
            <b:Last>Van Steen</b:Last>
            <b:First>Paul</b:First>
          </b:Person>
          <b:Person>
            <b:Last>Sterken</b:Last>
            <b:First>Elmer</b:First>
          </b:Person>
        </b:NameList>
      </b:Author>
    </b:Author>
    <b:Volume>24</b:Volume>
    <b:Issue>4</b:Issue>
    <b:RefOrder>33</b:RefOrder>
  </b:Source>
  <b:Source>
    <b:Tag>Fuj04</b:Tag>
    <b:SourceType>JournalArticle</b:SourceType>
    <b:Guid>{0A84637C-5BD7-47EF-9D51-56FA06C608D3}</b:Guid>
    <b:Title>Do Pareto-Zipf and Gibrat laws hold true? An analysis with European Firms</b:Title>
    <b:Year>2004</b:Year>
    <b:JournalName>Physica A: Statistical Mechanics and its Applications</b:JournalName>
    <b:Pages>197-216</b:Pages>
    <b:Author>
      <b:Author>
        <b:NameList>
          <b:Person>
            <b:Last>Fujiwara</b:Last>
            <b:First>Yoshi</b:First>
          </b:Person>
          <b:Person>
            <b:Last>Di Guilmi</b:Last>
            <b:First>Corrado</b:First>
          </b:Person>
          <b:Person>
            <b:Last>Aoyama</b:Last>
            <b:First>Hideaki</b:First>
          </b:Person>
          <b:Person>
            <b:Last>Gallegati</b:Last>
            <b:First>Mauro</b:First>
          </b:Person>
          <b:Person>
            <b:Last>Souma</b:Last>
            <b:First>Wataru</b:First>
          </b:Person>
        </b:NameList>
      </b:Author>
    </b:Author>
    <b:Volume>335</b:Volume>
    <b:Issue>1-2</b:Issue>
    <b:RefOrder>34</b:RefOrder>
  </b:Source>
  <b:Source>
    <b:Tag>Cho10</b:Tag>
    <b:SourceType>JournalArticle</b:SourceType>
    <b:Guid>{9F7ACE35-83D3-46FC-99B4-F72E8BCB0B86}</b:Guid>
    <b:Title>The US property and liability insurance industry: firm growth, size, and age</b:Title>
    <b:JournalName>Risk Management and Insurance Review</b:JournalName>
    <b:Year>2010</b:Year>
    <b:Pages>207-224</b:Pages>
    <b:Author>
      <b:Author>
        <b:NameList>
          <b:Person>
            <b:Last>Choi</b:Last>
            <b:Middle>Paul</b:Middle>
            <b:First>Byeongyoung</b:First>
          </b:Person>
        </b:NameList>
      </b:Author>
    </b:Author>
    <b:Volume>13</b:Volume>
    <b:Issue>2</b:Issue>
    <b:RefOrder>35</b:RefOrder>
  </b:Source>
  <b:Source>
    <b:Tag>Aud04</b:Tag>
    <b:SourceType>JournalArticle</b:SourceType>
    <b:Guid>{359DFFD6-07A0-4305-BC02-350C9E60539A}</b:Guid>
    <b:Title>Gibrat's Law: are the services different?</b:Title>
    <b:JournalName>Review of Industrial Organization</b:JournalName>
    <b:Year>2004</b:Year>
    <b:Pages>301-324</b:Pages>
    <b:Author>
      <b:Author>
        <b:NameList>
          <b:Person>
            <b:Last>Audretsch</b:Last>
            <b:Middle>B</b:Middle>
            <b:First>D</b:First>
          </b:Person>
          <b:Person>
            <b:Last>Klomp</b:Last>
            <b:First>L</b:First>
          </b:Person>
          <b:Person>
            <b:Last>Thurik</b:Last>
            <b:Middle>R</b:Middle>
            <b:First>A</b:First>
          </b:Person>
        </b:NameList>
      </b:Author>
    </b:Author>
    <b:Volume>24</b:Volume>
    <b:Issue>3</b:Issue>
    <b:RefOrder>36</b:RefOrder>
  </b:Source>
  <b:Source>
    <b:Tag>Far00</b:Tag>
    <b:SourceType>JournalArticle</b:SourceType>
    <b:Guid>{95150076-F7E4-4E9E-B75F-E5581E92E87D}</b:Guid>
    <b:Title>Firms' growth, size and age: A nonparametric approach</b:Title>
    <b:JournalName>Review of Industrial organization</b:JournalName>
    <b:Year>2000</b:Year>
    <b:Pages>249-265</b:Pages>
    <b:Author>
      <b:Author>
        <b:NameList>
          <b:Person>
            <b:Last>Fariñas</b:Last>
            <b:Middle>C</b:Middle>
            <b:First>José</b:First>
          </b:Person>
          <b:Person>
            <b:Last>Moreno</b:Last>
            <b:First>Lourdes</b:First>
          </b:Person>
        </b:NameList>
      </b:Author>
    </b:Author>
    <b:Volume>17</b:Volume>
    <b:Issue>3</b:Issue>
    <b:RefOrder>37</b:RefOrder>
  </b:Source>
  <b:Source>
    <b:Tag>Ser10</b:Tag>
    <b:SourceType>JournalArticle</b:SourceType>
    <b:Guid>{AB116ED7-7BDC-44F9-A94A-B986FC01A4D2}</b:Guid>
    <b:Title>Are there non-linearities between SME growth and its determinants? A quantile approach</b:Title>
    <b:JournalName>Industrial and Corporate Change</b:JournalName>
    <b:Year>2010</b:Year>
    <b:Pages>1071-1108</b:Pages>
    <b:Author>
      <b:Author>
        <b:NameList>
          <b:Person>
            <b:Last>Serrasqueiro</b:Last>
            <b:First>Zélia</b:First>
          </b:Person>
          <b:Person>
            <b:Last>Nunes</b:Last>
            <b:Middle>Maças </b:Middle>
            <b:First>Paulo</b:First>
          </b:Person>
          <b:Person>
            <b:Last>Leitão</b:Last>
            <b:First>João</b:First>
          </b:Person>
          <b:Person>
            <b:Last>Armada</b:Last>
            <b:First>Manuel</b:First>
          </b:Person>
        </b:NameList>
      </b:Author>
    </b:Author>
    <b:Volume>19</b:Volume>
    <b:Issue>4</b:Issue>
    <b:RefOrder>38</b:RefOrder>
  </b:Source>
  <b:Source>
    <b:Tag>Gan04</b:Tag>
    <b:SourceType>JournalArticle</b:SourceType>
    <b:Guid>{CEDB5749-18F3-4C8C-B628-264AE0658C9D}</b:Guid>
    <b:Title>Firm size distributions and stochastic growth models: a comparison between ICT and Mechanical Italian Companies</b:Title>
    <b:JournalName>Statistical Methods and Applications</b:JournalName>
    <b:Year>2004</b:Year>
    <b:Pages>391-414</b:Pages>
    <b:Author>
      <b:Author>
        <b:NameList>
          <b:Person>
            <b:Last>Ganugi</b:Last>
            <b:First>Piero</b:First>
          </b:Person>
          <b:Person>
            <b:Last>Grossi</b:Last>
            <b:First>Luigi</b:First>
          </b:Person>
          <b:Person>
            <b:Last>Crosato</b:Last>
            <b:First>Lisa</b:First>
          </b:Person>
        </b:NameList>
      </b:Author>
    </b:Author>
    <b:Volume>12</b:Volume>
    <b:Issue>3</b:Issue>
    <b:RefOrder>39</b:RefOrder>
  </b:Source>
  <b:Source>
    <b:Tag>Asl08</b:Tag>
    <b:SourceType>JournalArticle</b:SourceType>
    <b:Guid>{9A4F2C86-C419-4C03-9342-C08488904B21}</b:Guid>
    <b:Title>Testing Gibrat's law: Empirical evidence from panel unit root tests of Turkish firms</b:Title>
    <b:JournalName>Munich Personal RePEc Archive</b:JournalName>
    <b:Year>2008</b:Year>
    <b:Author>
      <b:Author>
        <b:NameList>
          <b:Person>
            <b:Last>Aslan</b:Last>
            <b:First>Alper</b:First>
          </b:Person>
        </b:NameList>
      </b:Author>
    </b:Author>
    <b:RefOrder>40</b:RefOrder>
  </b:Source>
  <b:Source>
    <b:Tag>Cal04</b:Tag>
    <b:SourceType>JournalArticle</b:SourceType>
    <b:Guid>{1638EA66-87B8-47F0-9E14-E9C6771F4E47}</b:Guid>
    <b:Title>Testing Gibrats Law Across Regions. Evidende from Spain</b:Title>
    <b:JournalName>Journal of Economics Literature Classification</b:JournalName>
    <b:Year>2004</b:Year>
    <b:Author>
      <b:Author>
        <b:NameList>
          <b:Person>
            <b:Last>Calvo</b:Last>
            <b:Middle>L</b:Middle>
            <b:First>José</b:First>
          </b:Person>
        </b:NameList>
      </b:Author>
    </b:Author>
    <b:RefOrder>41</b:RefOrder>
  </b:Source>
  <b:Source>
    <b:Tag>Fot10</b:Tag>
    <b:SourceType>JournalArticle</b:SourceType>
    <b:Guid>{5B955165-112B-42DB-99A0-3DC45C6F7714}</b:Guid>
    <b:Title>Gribrat's law and persistence of growth in Greek manufacturing</b:Title>
    <b:Year>2010</b:Year>
    <b:JournalName>Small Business Economics</b:JournalName>
    <b:Pages>191-202</b:Pages>
    <b:Author>
      <b:Author>
        <b:NameList>
          <b:Person>
            <b:Last>Fotopoulos</b:Last>
            <b:First>Georgios</b:First>
          </b:Person>
          <b:Person>
            <b:Last>Giotopoulos</b:Last>
            <b:First>Ioannis</b:First>
          </b:Person>
        </b:NameList>
      </b:Author>
    </b:Author>
    <b:Volume>35</b:Volume>
    <b:Issue>2</b:Issue>
    <b:RefOrder>42</b:RefOrder>
  </b:Source>
  <b:Source>
    <b:Tag>Miralles17</b:Tag>
    <b:SourceType>JournalArticle</b:SourceType>
    <b:Guid>{5F9A772D-5A8F-4DED-8340-00E08D53D6B9}</b:Guid>
    <b:Title>Contraste de la ley de Gibrat en la banca comercial brasileña</b:Title>
    <b:JournalName>Contaduría y Administración</b:JournalName>
    <b:Year>2017</b:Year>
    <b:Pages>1643-1656</b:Pages>
    <b:Author>
      <b:Author>
        <b:NameList>
          <b:Person>
            <b:Last>Miralles</b:Last>
            <b:First>Maria de Mar</b:First>
          </b:Person>
          <b:Person>
            <b:Last>Miralles</b:Last>
            <b:First>Jóse</b:First>
          </b:Person>
          <b:Person>
            <b:Last>Daza</b:Last>
            <b:First>Julio</b:First>
          </b:Person>
        </b:NameList>
      </b:Author>
    </b:Author>
    <b:Volume>62</b:Volume>
    <b:Issue>5</b:Issue>
    <b:RefOrder>1</b:RefOrder>
  </b:Source>
  <b:Source>
    <b:Tag>INE14</b:Tag>
    <b:SourceType>Misc</b:SourceType>
    <b:Guid>{8BED6096-4BE1-450B-8918-E2B106E4CE46}</b:Guid>
    <b:Title>Directorio de empresas y establecimientos</b:Title>
    <b:Year>2014</b:Year>
    <b:Author>
      <b:Author>
        <b:NameList>
          <b:Person>
            <b:Last>INEC</b:Last>
            <b:First>Instituto Nacional de Estadísticas y Censos</b:First>
          </b:Person>
        </b:NameList>
      </b:Author>
    </b:Author>
    <b:RefOrder>43</b:RefOrder>
  </b:Source>
  <b:Source>
    <b:Tag>Coa16</b:Tag>
    <b:SourceType>JournalArticle</b:SourceType>
    <b:Guid>{9C46B347-43C6-410D-959D-1B4B1530A43F}</b:Guid>
    <b:Title>Innovation and firm growth: Does firm age play a role?</b:Title>
    <b:Year>2016</b:Year>
    <b:JournalName>Research Policy</b:JournalName>
    <b:Pages>387-400</b:Pages>
    <b:Author>
      <b:Author>
        <b:NameList>
          <b:Person>
            <b:Last>Coad</b:Last>
            <b:First>Alex</b:First>
          </b:Person>
          <b:Person>
            <b:Last>Segarra</b:Last>
            <b:First>Agustí</b:First>
          </b:Person>
          <b:Person>
            <b:Last>Teruel</b:Last>
            <b:First>Mercedes</b:First>
          </b:Person>
        </b:NameList>
      </b:Author>
    </b:Author>
    <b:Volume>45</b:Volume>
    <b:Issue>2</b:Issue>
    <b:RefOrder>2</b:RefOrder>
  </b:Source>
  <b:Source>
    <b:Tag>Hes01</b:Tag>
    <b:SourceType>JournalArticle</b:SourceType>
    <b:Guid>{5BA497CA-016A-413C-94BF-6EF3BF940252}</b:Guid>
    <b:Title>On the growth of micro and small firms: evidence from Sweden</b:Title>
    <b:JournalName>Small business economics</b:JournalName>
    <b:Year>2001</b:Year>
    <b:Pages>213-228</b:Pages>
    <b:Author>
      <b:Author>
        <b:NameList>
          <b:Person>
            <b:Last>Heshmati</b:Last>
            <b:First>Almas</b:First>
          </b:Person>
        </b:NameList>
      </b:Author>
    </b:Author>
    <b:Volume>17</b:Volume>
    <b:Issue>3</b:Issue>
    <b:RefOrder>44</b:RefOrder>
  </b:Source>
  <b:Source>
    <b:Tag>Coa08</b:Tag>
    <b:SourceType>JournalArticle</b:SourceType>
    <b:Guid>{F8097191-3E53-4485-ADCE-E9B0887ADF98}</b:Guid>
    <b:Title>Innovation and firm growth in high-tech sectors: A quantile regression approach</b:Title>
    <b:JournalName>Research Policy</b:JournalName>
    <b:Year>2008</b:Year>
    <b:Pages>633-648</b:Pages>
    <b:Author>
      <b:Author>
        <b:NameList>
          <b:Person>
            <b:Last>Coad</b:Last>
            <b:First>Alex</b:First>
          </b:Person>
          <b:Person>
            <b:Last>Rao</b:Last>
            <b:First>Rekha</b:First>
          </b:Person>
        </b:NameList>
      </b:Author>
    </b:Author>
    <b:Volume>37</b:Volume>
    <b:RefOrder>45</b:RefOrder>
  </b:Source>
  <b:Source>
    <b:Tag>Par11</b:Tag>
    <b:SourceType>JournalArticle</b:SourceType>
    <b:Guid>{6EE00A9C-F213-4EDC-A6BD-412FA779B4A8}</b:Guid>
    <b:Title>International and domestic growth rate patterns across firm size</b:Title>
    <b:JournalName>International Journal of Tourism Sciences</b:JournalName>
    <b:Year>2011</b:Year>
    <b:Pages>91-107</b:Pages>
    <b:Author>
      <b:Author>
        <b:NameList>
          <b:Person>
            <b:Last>Park</b:Last>
            <b:First>Kwangmin</b:First>
          </b:Person>
          <b:Person>
            <b:Last>Sydnor</b:Last>
            <b:First>Sandra</b:First>
          </b:Person>
        </b:NameList>
      </b:Author>
    </b:Author>
    <b:Volume>11</b:Volume>
    <b:Issue>3</b:Issue>
    <b:RefOrder>46</b:RefOrder>
  </b:Source>
  <b:Source>
    <b:Tag>Vic12</b:Tag>
    <b:SourceType>JournalArticle</b:SourceType>
    <b:Guid>{76D9AD63-AE5A-4544-8845-CF3E565A26F2}</b:Guid>
    <b:Title>Regresión cuantílica: estimación y contrastes</b:Title>
    <b:JournalName>Instituro L.R. Klein</b:JournalName>
    <b:Year>2012</b:Year>
    <b:Author>
      <b:Author>
        <b:NameList>
          <b:Person>
            <b:Last>Vicéns</b:Last>
            <b:First>José</b:First>
          </b:Person>
          <b:Person>
            <b:Last>Sánchez</b:Last>
            <b:First>Beatriz</b:First>
          </b:Person>
        </b:NameList>
      </b:Author>
    </b:Author>
    <b:Issue>21</b:Issue>
    <b:RefOrder>47</b:RefOrder>
  </b:Source>
  <b:Source>
    <b:Tag>Koe78</b:Tag>
    <b:SourceType>JournalArticle</b:SourceType>
    <b:Guid>{984FDF21-F509-4E0B-B252-D21521DB0B7F}</b:Guid>
    <b:Title>Regression quantiles</b:Title>
    <b:Year>1978</b:Year>
    <b:JournalName>Econometrica: journal of the Econometric Society</b:JournalName>
    <b:Pages>33-50</b:Pages>
    <b:Author>
      <b:Author>
        <b:NameList>
          <b:Person>
            <b:Last>Koenker</b:Last>
            <b:First>Roger</b:First>
          </b:Person>
          <b:Person>
            <b:Last>Bassett Jr</b:Last>
            <b:First>Gilbert</b:First>
          </b:Person>
        </b:NameList>
      </b:Author>
    </b:Author>
    <b:RefOrder>48</b:RefOrder>
  </b:Source>
  <b:Source>
    <b:Tag>Del13</b:Tag>
    <b:SourceType>JournalArticle</b:SourceType>
    <b:Guid>{DCC1FD04-A190-4A1D-B43F-0BCF023987DB}</b:Guid>
    <b:Title>Untangling the relationships among growth, profitability and survival in new firms</b:Title>
    <b:JournalName>Technovation</b:JournalName>
    <b:Year>2013</b:Year>
    <b:Pages>276-291</b:Pages>
    <b:Author>
      <b:Author>
        <b:NameList>
          <b:Person>
            <b:Last>Delmar</b:Last>
            <b:First>Frédéric</b:First>
          </b:Person>
          <b:Person>
            <b:Last>McKelvie</b:Last>
            <b:First>Alexander</b:First>
          </b:Person>
          <b:Person>
            <b:Last>Wennberg</b:Last>
            <b:First>Karl</b:First>
          </b:Person>
        </b:NameList>
      </b:Author>
    </b:Author>
    <b:Volume>33</b:Volume>
    <b:Issue>8-9</b:Issue>
    <b:RefOrder>49</b:RefOrder>
  </b:Source>
  <b:Source>
    <b:Tag>Dem10</b:Tag>
    <b:SourceType>JournalArticle</b:SourceType>
    <b:Guid>{E29A74C5-8A23-45B8-9BCE-CEA5EABC7C7B}</b:Guid>
    <b:Title>The evolution of firm growth dynamics in the US pharmaceutical industry</b:Title>
    <b:JournalName>Regional Studies</b:JournalName>
    <b:Year>2010</b:Year>
    <b:Pages>1053-1066</b:Pages>
    <b:Volume>44</b:Volume>
    <b:Issue>8</b:Issue>
    <b:Author>
      <b:Author>
        <b:NameList>
          <b:Person>
            <b:Last>Demirel</b:Last>
            <b:First>Pelin</b:First>
          </b:Person>
          <b:Person>
            <b:Last>Mazzucato</b:Last>
            <b:First>Mariana</b:First>
          </b:Person>
        </b:NameList>
      </b:Author>
    </b:Author>
    <b:RefOrder>50</b:RefOrder>
  </b:Source>
  <b:Source>
    <b:Tag>Gon14</b:Tag>
    <b:SourceType>JournalArticle</b:SourceType>
    <b:Guid>{4F280358-FB97-46BA-A7EC-5685E1D8AC70}</b:Guid>
    <b:Title>New evidence on Gibrat's law for cities</b:Title>
    <b:JournalName>Urban Studies</b:JournalName>
    <b:Year>2014</b:Year>
    <b:Pages>93-115</b:Pages>
    <b:Author>
      <b:Author>
        <b:NameList>
          <b:Person>
            <b:Last>González-Val</b:Last>
            <b:First>Rafael</b:First>
          </b:Person>
          <b:Person>
            <b:Last>Lanaspa</b:Last>
            <b:First>Luis</b:First>
          </b:Person>
          <b:Person>
            <b:Last>Sanz</b:Last>
            <b:First>Fernando</b:First>
          </b:Person>
        </b:NameList>
      </b:Author>
    </b:Author>
    <b:Volume>51</b:Volume>
    <b:Issue>1</b:Issue>
    <b:RefOrder>51</b:RefOrder>
  </b:Source>
  <b:Source>
    <b:Tag>Oli06</b:Tag>
    <b:SourceType>JournalArticle</b:SourceType>
    <b:Guid>{509BAB19-DB45-47BE-836C-CA7A3B4B1947}</b:Guid>
    <b:Title>Testing Gibrat's law: empirical evidence from a panel of Portuguese manufacturing firms</b:Title>
    <b:JournalName>International Journal of the Economics of Business</b:JournalName>
    <b:Year>2006</b:Year>
    <b:Pages>65-81</b:Pages>
    <b:Author>
      <b:Author>
        <b:NameList>
          <b:Person>
            <b:Last>Oliveira</b:Last>
            <b:First>Blandina</b:First>
          </b:Person>
          <b:Person>
            <b:Last>Fortunato</b:Last>
            <b:First>Adelino</b:First>
          </b:Person>
        </b:NameList>
      </b:Author>
    </b:Author>
    <b:Volume>13</b:Volume>
    <b:Issue>1</b:Issue>
    <b:RefOrder>52</b:RefOrder>
  </b:Source>
  <b:Source>
    <b:Tag>Aiv05</b:Tag>
    <b:SourceType>JournalArticle</b:SourceType>
    <b:Guid>{83287A4E-36BC-434B-A4FF-B919D5835AB6}</b:Guid>
    <b:Title>The impact of leverage on firm investment: Canadian evidence</b:Title>
    <b:JournalName>Journal of Corporate Finance</b:JournalName>
    <b:Year>2005</b:Year>
    <b:Pages>277-291</b:Pages>
    <b:Author>
      <b:Author>
        <b:NameList>
          <b:Person>
            <b:Last>Aivazian</b:Last>
            <b:First>Varouj</b:First>
          </b:Person>
          <b:Person>
            <b:Last>Ge</b:Last>
            <b:First>Ying</b:First>
          </b:Person>
          <b:Person>
            <b:Last>Qiu</b:Last>
            <b:First>Jiaping</b:First>
          </b:Person>
        </b:NameList>
      </b:Author>
    </b:Author>
    <b:Volume>11</b:Volume>
    <b:RefOrder>53</b:RefOrder>
  </b:Source>
  <b:Source>
    <b:Tag>Jov82</b:Tag>
    <b:SourceType>JournalArticle</b:SourceType>
    <b:Guid>{F571ECC1-66E8-48D6-8E7C-7B36F7B10837}</b:Guid>
    <b:Title>Selection and the evolution of industry</b:Title>
    <b:JournalName>Econometrica</b:JournalName>
    <b:Year>1982</b:Year>
    <b:Pages>649-670</b:Pages>
    <b:Author>
      <b:Author>
        <b:NameList>
          <b:Person>
            <b:Last>Jovanovic</b:Last>
            <b:First>Boyan</b:First>
          </b:Person>
        </b:NameList>
      </b:Author>
    </b:Author>
    <b:Volume>50</b:Volume>
    <b:RefOrder>54</b:RefOrder>
  </b:Source>
  <b:Source>
    <b:Tag>Dom95</b:Tag>
    <b:SourceType>JournalArticle</b:SourceType>
    <b:Guid>{233D06EE-4A12-473C-AF40-79BCD6A03892}</b:Guid>
    <b:Title>The role of technology use in the survival and growth of manufacturing plants</b:Title>
    <b:JournalName>International journal of industrial organization</b:JournalName>
    <b:Year>1995</b:Year>
    <b:Pages>523-542</b:Pages>
    <b:Author>
      <b:Author>
        <b:NameList>
          <b:Person>
            <b:Last>Doms</b:Last>
            <b:First>Mark</b:First>
          </b:Person>
          <b:Person>
            <b:Last>Dunne</b:Last>
            <b:First>Timothy</b:First>
          </b:Person>
          <b:Person>
            <b:Last>Roberts</b:Last>
            <b:First>Mark</b:First>
          </b:Person>
        </b:NameList>
      </b:Author>
    </b:Author>
    <b:Volume>13</b:Volume>
    <b:Issue>4</b:Issue>
    <b:RefOrder>55</b:RefOrder>
  </b:Source>
  <b:Source>
    <b:Tag>Car07</b:Tag>
    <b:SourceType>Misc</b:SourceType>
    <b:Guid>{4FE04B4F-CEF1-4340-B968-84E26FD88BD9}</b:Guid>
    <b:Title>Firm growth, persistence and multiplicity of equilibria: an analysis of Spanish manufacturing and service industries</b:Title>
    <b:Year>2007</b:Year>
    <b:Publisher>Universitat Rovira i Virgili</b:Publisher>
    <b:Author>
      <b:Author>
        <b:NameList>
          <b:Person>
            <b:Last>Carrizosa</b:Last>
            <b:First>Mercedes</b:First>
          </b:Person>
        </b:NameList>
      </b:Author>
    </b:Author>
    <b:RefOrder>56</b:RefOrder>
  </b:Source>
  <b:Source>
    <b:Tag>Din04</b:Tag>
    <b:SourceType>Book</b:SourceType>
    <b:Guid>{62A6A2EE-7F6E-40C7-BF95-66D87118311B}</b:Guid>
    <b:Title>Pequeñas y medaianas empresas y eficiencia colectiva</b:Title>
    <b:Year>2004</b:Year>
    <b:City>México</b:City>
    <b:Publisher>Siglo XXI</b:Publisher>
    <b:Author>
      <b:Author>
        <b:NameList>
          <b:Person>
            <b:Last>Dini</b:Last>
            <b:First>Marco</b:First>
          </b:Person>
          <b:Person>
            <b:Last>Stumpo</b:Last>
            <b:First>Giovanni</b:First>
          </b:Person>
        </b:NameList>
      </b:Author>
    </b:Author>
    <b:RefOrder>57</b:RefOrder>
  </b:Source>
  <b:Source>
    <b:Tag>Hyy05</b:Tag>
    <b:SourceType>JournalArticle</b:SourceType>
    <b:Guid>{4864E202-0185-4A0C-88CB-3B09A4368586}</b:Guid>
    <b:Title>Do financial constraints hold back innovation and growth?: Evidence on the role of public policy</b:Title>
    <b:JournalName>Research Policy</b:JournalName>
    <b:Year>2005</b:Year>
    <b:Author>
      <b:Author>
        <b:NameList>
          <b:Person>
            <b:Last>Hyytinen</b:Last>
            <b:First>Ari</b:First>
          </b:Person>
          <b:Person>
            <b:Last>Toivanen</b:Last>
            <b:First>Otto</b:First>
          </b:Person>
        </b:NameList>
      </b:Author>
    </b:Author>
    <b:RefOrder>58</b:RefOrder>
  </b:Source>
  <b:Source>
    <b:Tag>Zap04</b:Tag>
    <b:SourceType>JournalArticle</b:SourceType>
    <b:Guid>{CA5A9D8C-C7D3-4330-903A-5292081C3066}</b:Guid>
    <b:Title>Las pymes y su problemática empresarial. Análisis de casos</b:Title>
    <b:JournalName>Investigacion en Administracion en America Latina</b:JournalName>
    <b:Year>2004</b:Year>
    <b:Author>
      <b:Author>
        <b:NameList>
          <b:Person>
            <b:Last>Zapata</b:Last>
            <b:First>Edgar</b:First>
          </b:Person>
        </b:NameList>
      </b:Author>
    </b:Author>
    <b:RefOrder>59</b:RefOrder>
  </b:Source>
  <b:Source>
    <b:Tag>Vel04</b:Tag>
    <b:SourceType>JournalArticle</b:SourceType>
    <b:Guid>{FF4E9834-D949-4A87-95ED-02F48C71485F}</b:Guid>
    <b:Title>La estrategia, la estructura y las formas de asociación: fuentes de ventaja competitiva para las pymes colombianas</b:Title>
    <b:JournalName>Estudios gerenciales</b:JournalName>
    <b:Year>2004</b:Year>
    <b:Pages>73-97</b:Pages>
    <b:Author>
      <b:Author>
        <b:NameList>
          <b:Person>
            <b:Last>Velásquez</b:Last>
            <b:First>Francisco</b:First>
          </b:Person>
        </b:NameList>
      </b:Author>
    </b:Author>
    <b:RefOrder>60</b:RefOrder>
  </b:Source>
  <b:Source>
    <b:Tag>Blá06</b:Tag>
    <b:SourceType>JournalArticle</b:SourceType>
    <b:Guid>{877ADBBE-FF5C-48BF-8413-41B053F48DC2}</b:Guid>
    <b:Title>Concepto , perspectivas y medida del crecimiento empresarial</b:Title>
    <b:Year>2006</b:Year>
    <b:Pages>165–195</b:Pages>
    <b:Author>
      <b:Author>
        <b:NameList>
          <b:Person>
            <b:Last>Blázquez</b:Last>
            <b:First>Félix</b:First>
          </b:Person>
          <b:Person>
            <b:Last>Dorta</b:Last>
            <b:First>José</b:First>
          </b:Person>
          <b:Person>
            <b:Last>Verona</b:Last>
            <b:First>María</b:First>
          </b:Person>
        </b:NameList>
      </b:Author>
    </b:Author>
    <b:Volume>19</b:Volume>
    <b:Issue>31</b:Issue>
    <b:RefOrder>61</b:RefOrder>
  </b:Source>
  <b:Source>
    <b:Tag>San14</b:Tag>
    <b:SourceType>JournalArticle</b:SourceType>
    <b:Guid>{672792A4-BF37-4024-ACD4-C3A03D116651}</b:Guid>
    <b:Title>Gobierno corporativo, rentabilidad y financiamiento en pymes</b:Title>
    <b:JournalName>XXXIV Jornadas de la Sociedad de docentes en Administración Financiera</b:JournalName>
    <b:Year>2014</b:Year>
    <b:Pages>256-292</b:Pages>
    <b:Author>
      <b:Author>
        <b:NameList>
          <b:Person>
            <b:Last>Santoliquido</b:Last>
            <b:First>Diego</b:First>
          </b:Person>
          <b:Person>
            <b:Last>Briozzo</b:Last>
            <b:First>Anahí</b:First>
          </b:Person>
          <b:Person>
            <b:Last>Albanese</b:Last>
            <b:First>Diana</b:First>
          </b:Person>
        </b:NameList>
      </b:Author>
    </b:Author>
    <b:RefOrder>62</b:RefOrder>
  </b:Source>
  <b:Source>
    <b:Tag>Car05</b:Tag>
    <b:SourceType>JournalArticle</b:SourceType>
    <b:Guid>{F614B2C8-E2C1-4FA9-9B0D-6D8EF1652053}</b:Guid>
    <b:Title>La dinámica industrial, crecimiento económico y PyMEs: Un análisis de datos de panel para el caso colombiano 1980-2000</b:Title>
    <b:JournalName>Archivos de economía</b:JournalName>
    <b:Year>2005</b:Year>
    <b:Author>
      <b:Author>
        <b:NameList>
          <b:Person>
            <b:Last>Cardona</b:Last>
            <b:First>Marlenny</b:First>
          </b:Person>
          <b:Person>
            <b:Last>Cano</b:Last>
            <b:First>Carlos</b:First>
          </b:Person>
        </b:NameList>
      </b:Author>
    </b:Author>
    <b:Issue>292</b:Issue>
    <b:RefOrder>63</b:RefOrder>
  </b:Source>
  <b:Source>
    <b:Tag>Wen11</b:Tag>
    <b:SourceType>JournalArticle</b:SourceType>
    <b:Guid>{F64951F5-1334-4323-AD76-AA9AFCC3EAF6}</b:Guid>
    <b:Title>The effectiveness of university knowledge spillovers: Performance differences between university spinoffs and corporate spinoffs.</b:Title>
    <b:JournalName>Research Policy</b:JournalName>
    <b:Year>2011</b:Year>
    <b:Pages>1128-1143</b:Pages>
    <b:Author>
      <b:Author>
        <b:NameList>
          <b:Person>
            <b:Last>Wennberg</b:Last>
            <b:First>Karl</b:First>
          </b:Person>
          <b:Person>
            <b:Last>Wiklund</b:Last>
            <b:First>Johan</b:First>
          </b:Person>
          <b:Person>
            <b:Last>Wright</b:Last>
            <b:First>Mike</b:First>
          </b:Person>
        </b:NameList>
      </b:Author>
    </b:Author>
    <b:Volume>40</b:Volume>
    <b:Issue>8</b:Issue>
    <b:RefOrder>64</b:RefOrder>
  </b:Source>
  <b:Source>
    <b:Tag>Aud14</b:Tag>
    <b:SourceType>JournalArticle</b:SourceType>
    <b:Guid>{E143D249-670A-4FB8-A5C8-8AD30C629F59}</b:Guid>
    <b:Title>Firm growth and innovation</b:Title>
    <b:JournalName>Small business economics</b:JournalName>
    <b:Year>2014</b:Year>
    <b:Pages>746-749</b:Pages>
    <b:Author>
      <b:Author>
        <b:NameList>
          <b:Person>
            <b:Last>Audretsch</b:Last>
            <b:First>David</b:First>
          </b:Person>
          <b:Person>
            <b:Last>Coad</b:Last>
            <b:First>Alex</b:First>
          </b:Person>
          <b:Person>
            <b:Last>Segarra</b:Last>
            <b:First>Agustin</b:First>
          </b:Person>
        </b:NameList>
      </b:Author>
    </b:Author>
    <b:Volume>43</b:Volume>
    <b:Issue>4</b:Issue>
    <b:RefOrder>65</b:RefOrder>
  </b:Source>
  <b:Source>
    <b:Tag>Gib31</b:Tag>
    <b:SourceType>JournalArticle</b:SourceType>
    <b:Guid>{66ED9946-EA37-4EC0-9024-6969D150D450}</b:Guid>
    <b:Title>Les inégalités économiques: applications: aux inégalitês des richesses, à la concentration des entreprises, aux populations des villes, aux statistiques des familles, etc: d'une loi nouvelle: la loi de l'effet proportionnel</b:Title>
    <b:JournalName>Librairie du Recueil Sirey</b:JournalName>
    <b:Year>1931</b:Year>
    <b:Author>
      <b:Author>
        <b:NameList>
          <b:Person>
            <b:Last>Gibrat</b:Last>
            <b:First>Robert</b:First>
          </b:Person>
        </b:NameList>
      </b:Author>
    </b:Author>
    <b:RefOrder>66</b:RefOrder>
  </b:Source>
  <b:Source>
    <b:Tag>Che79</b:Tag>
    <b:SourceType>JournalArticle</b:SourceType>
    <b:Guid>{C235FD4C-2806-433E-AD60-0F9739E66F65}</b:Guid>
    <b:Title>Testing the law of proportionate effect</b:Title>
    <b:JournalName>The journal of industrial economics</b:JournalName>
    <b:Year>1979</b:Year>
    <b:Pages>403-411</b:Pages>
    <b:Author>
      <b:Author>
        <b:NameList>
          <b:Person>
            <b:Last>Chesher</b:Last>
            <b:First>Andrew</b:First>
          </b:Person>
        </b:NameList>
      </b:Author>
    </b:Author>
    <b:Volume>27</b:Volume>
    <b:Issue>4</b:Issue>
    <b:RefOrder>67</b:RefOrder>
  </b:Source>
  <b:Source>
    <b:Tag>Kum85</b:Tag>
    <b:SourceType>JournalArticle</b:SourceType>
    <b:Guid>{E8725F8C-2DDD-4F42-B505-0CBDDC9765C0}</b:Guid>
    <b:Title>Growth, acquisition activity and firm size: eviednce from the United Kingdom</b:Title>
    <b:JournalName>The journal of industrial economics</b:JournalName>
    <b:Year>1985</b:Year>
    <b:Pages>327-338</b:Pages>
    <b:Author>
      <b:Author>
        <b:NameList>
          <b:Person>
            <b:Last>Kumar</b:Last>
            <b:First>M</b:First>
          </b:Person>
        </b:NameList>
      </b:Author>
    </b:Author>
    <b:Volume>33</b:Volume>
    <b:Issue>3</b:Issue>
    <b:RefOrder>68</b:RefOrder>
  </b:Source>
  <b:Source>
    <b:Tag>Dun89</b:Tag>
    <b:SourceType>JournalArticle</b:SourceType>
    <b:Guid>{8F6A6BBC-A058-4FA8-9F4A-947D2FB75702}</b:Guid>
    <b:Title>The growth and failure of U.S. manufacturing plants</b:Title>
    <b:JournalName>The Quarterly Journal of Economics</b:JournalName>
    <b:Year>1989</b:Year>
    <b:Pages>671-698</b:Pages>
    <b:Author>
      <b:Author>
        <b:NameList>
          <b:Person>
            <b:Last>Dunne</b:Last>
            <b:First>Timothy</b:First>
          </b:Person>
          <b:Person>
            <b:Last>Roberts</b:Last>
            <b:First>Mark</b:First>
          </b:Person>
          <b:Person>
            <b:Last>Samuelson</b:Last>
            <b:First>Larry</b:First>
          </b:Person>
        </b:NameList>
      </b:Author>
    </b:Author>
    <b:Volume>104</b:Volume>
    <b:Issue>4</b:Issue>
    <b:RefOrder>69</b:RefOrder>
  </b:Source>
  <b:Source>
    <b:Tag>Bot01</b:Tag>
    <b:SourceType>JournalArticle</b:SourceType>
    <b:Guid>{34BDA341-07AF-4561-80AF-96E114BD1AA8}</b:Guid>
    <b:Title>Innovation and corporate growth in the evolution of the drug industry</b:Title>
    <b:Year>2001</b:Year>
    <b:JournalName>International Journal of Industrial Organization</b:JournalName>
    <b:Pages>1161-1187</b:Pages>
    <b:Author>
      <b:Author>
        <b:NameList>
          <b:Person>
            <b:Last>Bottazzi</b:Last>
            <b:First>Giulio</b:First>
          </b:Person>
          <b:Person>
            <b:Last>Dosi</b:Last>
            <b:First>Giovanni</b:First>
          </b:Person>
          <b:Person>
            <b:Last>Lippi</b:Last>
            <b:First>Marco</b:First>
          </b:Person>
          <b:Person>
            <b:Last>Pammolli</b:Last>
            <b:First>Fabio</b:First>
          </b:Person>
          <b:Person>
            <b:Last>Riccaboni</b:Last>
            <b:First>Massimo</b:First>
          </b:Person>
        </b:NameList>
      </b:Author>
    </b:Author>
    <b:Volume>19</b:Volume>
    <b:RefOrder>70</b:RefOrder>
  </b:Source>
  <b:Source>
    <b:Tag>Oli08</b:Tag>
    <b:SourceType>JournalArticle</b:SourceType>
    <b:Guid>{299659DC-8C05-440F-8A71-9AD80676D034}</b:Guid>
    <b:Title>The dynamics of the growth of firms: evidence from the services sector</b:Title>
    <b:JournalName>Empírica</b:JournalName>
    <b:Year>2008</b:Year>
    <b:Pages>293-312</b:Pages>
    <b:Author>
      <b:Author>
        <b:NameList>
          <b:Person>
            <b:Last>Oliveira</b:Last>
            <b:First>Blandina</b:First>
          </b:Person>
          <b:Person>
            <b:Last>Fortunato</b:Last>
            <b:First>Adelino</b:First>
          </b:Person>
        </b:NameList>
      </b:Author>
    </b:Author>
    <b:Volume>35</b:Volume>
    <b:Issue>3</b:Issue>
    <b:RefOrder>71</b:RefOrder>
  </b:Source>
  <b:Source>
    <b:Tag>Cow04</b:Tag>
    <b:SourceType>JournalArticle</b:SourceType>
    <b:Guid>{2621122B-18C8-4D3B-BCDA-7DA4FB5AF797}</b:Guid>
    <b:Title>The growth profit nexus</b:Title>
    <b:JournalName>Small Business Economics</b:JournalName>
    <b:Year>2004</b:Year>
    <b:Pages>1-9</b:Pages>
    <b:Author>
      <b:Author>
        <b:NameList>
          <b:Person>
            <b:Last>Cowling</b:Last>
            <b:First>Marc</b:First>
          </b:Person>
        </b:NameList>
      </b:Author>
    </b:Author>
    <b:Volume>22</b:Volume>
    <b:RefOrder>72</b:RefOrder>
  </b:Source>
  <b:Source>
    <b:Tag>Hom14</b:Tag>
    <b:SourceType>JournalArticle</b:SourceType>
    <b:Guid>{9C33A2BA-9EB4-4744-A598-1E8667FBC7FC}</b:Guid>
    <b:Title>Firm growth and efficiency in the banking industry: A new test of the efficient structure hypothesis</b:Title>
    <b:JournalName>Journal of Banking and Finance</b:JournalName>
    <b:Year>2014</b:Year>
    <b:Pages>143-153</b:Pages>
    <b:Author>
      <b:Author>
        <b:NameList>
          <b:Person>
            <b:Last>Homma</b:Last>
            <b:First>Tetsushi</b:First>
          </b:Person>
          <b:Person>
            <b:Last>Tsutsui</b:Last>
            <b:First>Yoshiro</b:First>
          </b:Person>
          <b:Person>
            <b:Last>Uchida</b:Last>
            <b:First>Hirofumi</b:First>
          </b:Person>
        </b:NameList>
      </b:Author>
    </b:Author>
    <b:Volume>40</b:Volume>
    <b:RefOrder>73</b:RefOrder>
  </b:Source>
  <b:Source>
    <b:Tag>Tan15</b:Tag>
    <b:SourceType>JournalArticle</b:SourceType>
    <b:Guid>{1E0605C4-C37D-41B8-A733-F7F6DF63B37C}</b:Guid>
    <b:Title>Does Gibrat's law hold for Swedish energy firms?</b:Title>
    <b:Year>2015</b:Year>
    <b:JournalName>Empirical Economics</b:JournalName>
    <b:Pages>659-674</b:Pages>
    <b:Author>
      <b:Author>
        <b:NameList>
          <b:Person>
            <b:Last>Tang</b:Last>
            <b:First>Aili</b:First>
          </b:Person>
        </b:NameList>
      </b:Author>
    </b:Author>
    <b:Volume>49</b:Volume>
    <b:Issue>2</b:Issue>
    <b:RefOrder>74</b:RefOrder>
  </b:Source>
  <b:Source>
    <b:Tag>Man62</b:Tag>
    <b:SourceType>JournalArticle</b:SourceType>
    <b:Guid>{4503A206-D614-415E-8986-7DB5CD20C586}</b:Guid>
    <b:Title>Entry, Gibrat's law, innovation, and the growth of firms</b:Title>
    <b:JournalName>The American economic review</b:JournalName>
    <b:Year>1962</b:Year>
    <b:Pages>1023-1051</b:Pages>
    <b:Author>
      <b:Author>
        <b:NameList>
          <b:Person>
            <b:Last>Mansfield</b:Last>
            <b:First>Edwin</b:First>
          </b:Person>
        </b:NameList>
      </b:Author>
    </b:Author>
    <b:Volume>52</b:Volume>
    <b:Issue>5</b:Issue>
    <b:RefOrder>75</b:RefOrder>
  </b:Source>
  <b:Source>
    <b:Tag>Lot01</b:Tag>
    <b:SourceType>JournalArticle</b:SourceType>
    <b:Guid>{7B988B39-3C70-4282-99A9-C5483096E2F9}</b:Guid>
    <b:Title>The relationship between size and growth: the case of Italian newborn firms</b:Title>
    <b:JournalName>Applied Economics Letters</b:JournalName>
    <b:Year>2001</b:Year>
    <b:Pages>451-454</b:Pages>
    <b:Author>
      <b:Author>
        <b:NameList>
          <b:Person>
            <b:Last>Lotti</b:Last>
            <b:First>Francesca</b:First>
          </b:Person>
          <b:Person>
            <b:Last>Santarelli</b:Last>
            <b:First>Enrico</b:First>
          </b:Person>
          <b:Person>
            <b:Last>Vivarelli</b:Last>
            <b:First>Marco</b:First>
          </b:Person>
        </b:NameList>
      </b:Author>
    </b:Author>
    <b:Volume>8</b:Volume>
    <b:Issue>7</b:Issue>
    <b:RefOrder>76</b:RefOrder>
  </b:Source>
  <b:Source>
    <b:Tag>Kos06</b:Tag>
    <b:SourceType>JournalArticle</b:SourceType>
    <b:Guid>{98036DBE-C258-41F2-9053-85A43A327CD2}</b:Guid>
    <b:Title>Does Gobrat's law hold amongst dairy farmers in Nothern Ireland?</b:Title>
    <b:JournalName>Munich Personal RePEc Archive</b:JournalName>
    <b:Year>2006</b:Year>
    <b:Author>
      <b:Author>
        <b:NameList>
          <b:Person>
            <b:Last>Kostov</b:Last>
            <b:First>Philip</b:First>
          </b:Person>
          <b:Person>
            <b:Last>Patton</b:Last>
            <b:First>Myles</b:First>
          </b:Person>
          <b:Person>
            <b:Last>Moss</b:Last>
            <b:First>Joan</b:First>
          </b:Person>
          <b:Person>
            <b:Last>McErlean</b:Last>
            <b:First>Seamus</b:First>
          </b:Person>
        </b:NameList>
      </b:Author>
    </b:Author>
    <b:RefOrder>77</b:RefOrder>
  </b:Source>
  <b:Source xmlns:b="http://schemas.openxmlformats.org/officeDocument/2006/bibliography">
    <b:Tag>Cor99</b:Tag>
    <b:SourceType>Misc</b:SourceType>
    <b:Guid>{77DF4BBA-6705-4391-A2C4-2BFD95951F60}</b:Guid>
    <b:Title>Factores determinantes del crecimiento empresarial</b:Title>
    <b:Year>1999</b:Year>
    <b:Publisher>Universidad de la Laguna</b:Publisher>
    <b:Author>
      <b:Author>
        <b:NameList>
          <b:Person>
            <b:Last>Correa</b:Last>
            <b:First>Alicia</b:First>
          </b:Person>
          <b:Person>
            <b:Last>Urbano</b:Last>
            <b:First>Medina</b:First>
          </b:Person>
        </b:NameList>
      </b:Author>
    </b:Author>
    <b:RefOrder>78</b:RefOrder>
  </b:Source>
  <b:Source>
    <b:Tag>Rip01</b:Tag>
    <b:SourceType>JournalArticle</b:SourceType>
    <b:Guid>{42D4D940-D31D-451C-AF5A-2CB3A000EBD0}</b:Guid>
    <b:Title>La importancia del empresario en el crecimiento de las PYMEs: Una aplicación al sector de la cerámica española</b:Title>
    <b:Year>2001</b:Year>
    <b:JournalName>Investigaciones europeas de dirección y economía de la empresa</b:JournalName>
    <b:Pages>87-98</b:Pages>
    <b:Author>
      <b:Author>
        <b:NameList>
          <b:Person>
            <b:Last>Ripollés</b:Last>
            <b:First>M</b:First>
          </b:Person>
          <b:Person>
            <b:Last>Menguzzato</b:Last>
            <b:First>M</b:First>
          </b:Person>
        </b:NameList>
      </b:Author>
    </b:Author>
    <b:Volume>7</b:Volume>
    <b:Issue>1</b:Issue>
    <b:RefOrder>79</b:RefOrder>
  </b:Source>
  <b:Source>
    <b:Tag>Jim13</b:Tag>
    <b:SourceType>Misc</b:SourceType>
    <b:Guid>{8733BAFE-17C2-407D-B7AB-C77FDDF87379}</b:Guid>
    <b:Title>Situación actual de las medianas empresas en el cantón Quito y su potencial financiamiento a través de la bolsa de valores</b:Title>
    <b:Year>2013</b:Year>
    <b:City>Sangolquí</b:City>
    <b:Publisher>Universidad de las Fuerzas Armadas ESPE</b:Publisher>
    <b:CountryRegion>Ecuador</b:CountryRegion>
    <b:Author>
      <b:Author>
        <b:NameList>
          <b:Person>
            <b:Last>Jiménez</b:Last>
            <b:First>Edison</b:First>
          </b:Person>
        </b:NameList>
      </b:Author>
    </b:Author>
    <b:RefOrder>80</b:RefOrder>
  </b:Source>
  <b:Source>
    <b:Tag>Cre17</b:Tag>
    <b:SourceType>JournalArticle</b:SourceType>
    <b:Guid>{4D8D2EC1-E787-4688-85B5-500B10CB4785}</b:Guid>
    <b:Title>Una metodología para la gestión de Riesgos aplicada a las MPYMEs</b:Title>
    <b:Year>2017</b:Year>
    <b:Author>
      <b:Author>
        <b:NameList>
          <b:Person>
            <b:Last>Crespo</b:Last>
            <b:First>Esteban</b:First>
          </b:Person>
        </b:NameList>
      </b:Author>
    </b:Author>
    <b:CountryRegion>Ecuador</b:CountryRegion>
    <b:Pages>107-121</b:Pages>
    <b:Volume>7</b:Volume>
    <b:Issue>1</b:Issue>
    <b:JournalName>Enfoque UTE</b:JournalName>
    <b:RefOrder>81</b:RefOrder>
  </b:Source>
  <b:Source>
    <b:Tag>Lar06</b:Tag>
    <b:SourceType>JournalArticle</b:SourceType>
    <b:Guid>{F7E4FF58-8C9C-42E2-BDD5-E3972ADDE657}</b:Guid>
    <b:Title>Universidad, investigación científica y desarrollo en América Latina y el Ecuador</b:Title>
    <b:Year>2006</b:Year>
    <b:Author>
      <b:Author>
        <b:NameList>
          <b:Person>
            <b:Last>Larrea</b:Last>
            <b:First>Carlos</b:First>
          </b:Person>
        </b:NameList>
      </b:Author>
    </b:Author>
    <b:RefOrder>82</b:RefOrder>
  </b:Source>
  <b:Source>
    <b:Tag>Sch02</b:Tag>
    <b:SourceType>JournalArticle</b:SourceType>
    <b:Guid>{70C81C12-1B8E-4BC4-AE87-4DEDDDF91968}</b:Guid>
    <b:Title>El futuro de la dolarización en Ecuador</b:Title>
    <b:Year>2002</b:Year>
    <b:JournalName>Instituto ecuatoriano de Economía Política</b:JournalName>
    <b:Author>
      <b:Author>
        <b:NameList>
          <b:Person>
            <b:Last>Schuler</b:Last>
            <b:First>Kurt</b:First>
          </b:Person>
        </b:NameList>
      </b:Author>
    </b:Author>
    <b:RefOrder>83</b:RefOrder>
  </b:Source>
  <b:Source>
    <b:Tag>Kan02</b:Tag>
    <b:SourceType>JournalArticle</b:SourceType>
    <b:Guid>{85CC77AF-4295-49F0-B51F-FBA2695C0737}</b:Guid>
    <b:Title>Empresarialidad en economías emergentes: Creación y desarrollo de nuevas empresas en América Latina y el Este de Asia</b:Title>
    <b:JournalName>Inter-American Development Bank</b:JournalName>
    <b:Year>2002</b:Year>
    <b:Author>
      <b:Author>
        <b:NameList>
          <b:Person>
            <b:Last>Kantis</b:Last>
            <b:First>Hugo</b:First>
          </b:Person>
          <b:Person>
            <b:Last>Ishida</b:Last>
            <b:First>Masahiko</b:First>
          </b:Person>
          <b:Person>
            <b:Last>Komori</b:Last>
            <b:First>Masahiko</b:First>
          </b:Person>
        </b:NameList>
      </b:Author>
    </b:Author>
    <b:RefOrder>84</b:RefOrder>
  </b:Source>
  <b:Source>
    <b:Tag>Hsi14</b:Tag>
    <b:SourceType>JournalArticle</b:SourceType>
    <b:Guid>{93305A2F-88F8-4840-B0E4-AC53962886AA}</b:Guid>
    <b:Title>Analysis of panel data</b:Title>
    <b:Year>2014</b:Year>
    <b:JournalName>Cambridge university press</b:JournalName>
    <b:Author>
      <b:Author>
        <b:NameList>
          <b:Person>
            <b:Last>Hsiao</b:Last>
            <b:First>Cheng</b:First>
          </b:Person>
        </b:NameList>
      </b:Author>
    </b:Author>
    <b:Issue>54</b:Issue>
    <b:RefOrder>85</b:RefOrder>
  </b:Source>
  <b:Source>
    <b:Tag>Kik98</b:Tag>
    <b:SourceType>JournalArticle</b:SourceType>
    <b:Guid>{74750E95-6A56-4765-A670-447155C9AA99}</b:Guid>
    <b:Title>Variables estacionales en los modelos de regresión: una aplicación a la demanda por dinero de Costa Rica</b:Title>
    <b:Year>1998</b:Year>
    <b:JournalName>Banco Central de Costa Rica</b:JournalName>
    <b:Author>
      <b:Author>
        <b:NameList>
          <b:Person>
            <b:Last>Kikut</b:Last>
            <b:Middle>Cecilia</b:Middle>
            <b:First>Ana</b:First>
          </b:Person>
          <b:Person>
            <b:Last>Torres</b:Last>
            <b:First>Carlos</b:First>
          </b:Person>
        </b:NameList>
      </b:Author>
    </b:Author>
    <b:RefOrder>86</b:RefOrder>
  </b:Source>
  <b:Source>
    <b:Tag>DeS09</b:Tag>
    <b:SourceType>JournalArticle</b:SourceType>
    <b:Guid>{594A5A56-3E91-425A-9B52-BDB22A4975F9}</b:Guid>
    <b:Title>Revisión sistemática y metaanálisis de estudios de diagnóstico y pronóstico: una guía</b:Title>
    <b:Year>2009</b:Year>
    <b:Pages>235-245</b:Pages>
    <b:Volume>92</b:Volume>
    <b:Issue>3</b:Issue>
    <b:Author>
      <b:Author>
        <b:NameList>
          <b:Person>
            <b:Last>De Sousa</b:Last>
            <b:First>Marcos</b:First>
          </b:Person>
          <b:Person>
            <b:Last>Ribeiro</b:Last>
            <b:First>Antonio</b:First>
          </b:Person>
        </b:NameList>
      </b:Author>
    </b:Author>
    <b:RefOrder>87</b:RefOrder>
  </b:Source>
  <b:Source>
    <b:Tag>Are901</b:Tag>
    <b:SourceType>JournalArticle</b:SourceType>
    <b:Guid>{35479920-C2CC-4D84-BE8C-EC33AD73ACA1}</b:Guid>
    <b:Title>La econometría de datos de panel</b:Title>
    <b:JournalName>Investigaciones económicas</b:JournalName>
    <b:Year>1990</b:Year>
    <b:Pages>3-45</b:Pages>
    <b:Author>
      <b:Author>
        <b:NameList>
          <b:Person>
            <b:Last>Arellano</b:Last>
            <b:First>Manuel</b:First>
          </b:Person>
          <b:Person>
            <b:Last>Bover</b:Last>
            <b:First>Olympia</b:First>
          </b:Person>
        </b:NameList>
      </b:Author>
    </b:Author>
    <b:Volume>14</b:Volume>
    <b:Issue>1</b:Issue>
    <b:RefOrder>88</b:RefOrder>
  </b:Source>
  <b:Source>
    <b:Tag>Gan08</b:Tag>
    <b:SourceType>JournalArticle</b:SourceType>
    <b:Guid>{D22DF0B5-6588-4A3F-A56B-7C57AAB8F160}</b:Guid>
    <b:Title>El gobierno corporativo: consideraciones y cimientos teóricos</b:Title>
    <b:Year>2008</b:Year>
    <b:JournalName>Cuadernos de administración</b:JournalName>
    <b:Author>
      <b:Author>
        <b:NameList>
          <b:Person>
            <b:Last>Ganga</b:Last>
            <b:First>Francisco</b:First>
          </b:Person>
          <b:Person>
            <b:Last>Vera</b:Last>
            <b:First>José</b:First>
          </b:Person>
        </b:NameList>
      </b:Author>
    </b:Author>
    <b:Volume>21</b:Volume>
    <b:Issue>35</b:Issue>
    <b:RefOrder>89</b:RefOrder>
  </b:Source>
  <b:Source>
    <b:Tag>MarcadorDePosición1</b:Tag>
    <b:SourceType>JournalArticle</b:SourceType>
    <b:Guid>{5BA497CA-016A-413C-94BF-6EF3BF940252}</b:Guid>
    <b:Title>On the growth of micro and small firms: evidence from Sweden</b:Title>
    <b:JournalName>Small business economics</b:JournalName>
    <b:Year>2001</b:Year>
    <b:Pages>213-228</b:Pages>
    <b:Author>
      <b:Author>
        <b:NameList>
          <b:Person>
            <b:Last>Heshmati</b:Last>
            <b:First>Almas</b:First>
          </b:Person>
        </b:NameList>
      </b:Author>
    </b:Author>
    <b:Volume>17</b:Volume>
    <b:Issue>3</b:Issue>
    <b:RefOrder>90</b:RefOrder>
  </b:Source>
</b:Sources>
</file>

<file path=customXml/itemProps1.xml><?xml version="1.0" encoding="utf-8"?>
<ds:datastoreItem xmlns:ds="http://schemas.openxmlformats.org/officeDocument/2006/customXml" ds:itemID="{F660AE75-AE36-6F4F-9F07-3C04E6B1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6054</Words>
  <Characters>33297</Characters>
  <Application>Microsoft Macintosh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LUIS</cp:lastModifiedBy>
  <cp:revision>8</cp:revision>
  <dcterms:created xsi:type="dcterms:W3CDTF">2018-06-14T11:25:00Z</dcterms:created>
  <dcterms:modified xsi:type="dcterms:W3CDTF">2018-06-15T12:04:00Z</dcterms:modified>
</cp:coreProperties>
</file>