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AB5" w:rsidRPr="00330AB5" w:rsidRDefault="00E8285F" w:rsidP="00330AB5">
      <w:pPr>
        <w:jc w:val="center"/>
        <w:rPr>
          <w:b/>
          <w:sz w:val="28"/>
        </w:rPr>
      </w:pPr>
      <w:r w:rsidRPr="00330AB5">
        <w:rPr>
          <w:b/>
          <w:sz w:val="28"/>
        </w:rPr>
        <w:t>Gobierno Corporativo en el Sector Bancario</w:t>
      </w:r>
      <w:r w:rsidR="00330AB5" w:rsidRPr="00330AB5">
        <w:rPr>
          <w:b/>
          <w:sz w:val="28"/>
        </w:rPr>
        <w:t xml:space="preserve"> de una Economía Emergente</w:t>
      </w:r>
      <w:r w:rsidR="00956579">
        <w:rPr>
          <w:rStyle w:val="Refdenotaalpie"/>
          <w:b/>
          <w:sz w:val="28"/>
        </w:rPr>
        <w:footnoteReference w:id="1"/>
      </w:r>
    </w:p>
    <w:p w:rsidR="00330AB5" w:rsidRDefault="00330AB5" w:rsidP="003F1F57">
      <w:pPr>
        <w:rPr>
          <w:b/>
        </w:rPr>
      </w:pPr>
    </w:p>
    <w:p w:rsidR="00E8285F" w:rsidRDefault="00E8285F" w:rsidP="003F1F57"/>
    <w:p w:rsidR="00E8285F" w:rsidRPr="003F1F57" w:rsidRDefault="00E8285F" w:rsidP="003F1F57">
      <w:pPr>
        <w:rPr>
          <w:b/>
        </w:rPr>
      </w:pPr>
      <w:r w:rsidRPr="003F1F57">
        <w:rPr>
          <w:b/>
        </w:rPr>
        <w:t>Resumen</w:t>
      </w:r>
    </w:p>
    <w:p w:rsidR="00E8285F" w:rsidRDefault="00FA0527" w:rsidP="003F1F57">
      <w:r>
        <w:t xml:space="preserve">La </w:t>
      </w:r>
      <w:r w:rsidR="00E8285F">
        <w:t xml:space="preserve">presente investigación tiene como finalidad medir la relación que tiene la aplicación de las buenas prácticas de gobierno corporativo en relación con el valor económico de los bancos listados </w:t>
      </w:r>
      <w:r w:rsidR="00330AB5">
        <w:t xml:space="preserve">en una bolsa emergente como </w:t>
      </w:r>
      <w:r>
        <w:t xml:space="preserve">la Bolsa de Valores de Lima, dada la creciente relevancia del gobierno corporativo, y ante la escasez de evidencia empírica sobre bancos en mercados emergentes. </w:t>
      </w:r>
      <w:r w:rsidR="003F1F57">
        <w:t xml:space="preserve">La metodología abordada emplea un modelo que evalúa la Q de </w:t>
      </w:r>
      <w:proofErr w:type="spellStart"/>
      <w:r w:rsidR="003F1F57">
        <w:t>Tobin</w:t>
      </w:r>
      <w:proofErr w:type="spellEnd"/>
      <w:r w:rsidR="003F1F57">
        <w:t xml:space="preserve">, los ratios de apalancamiento, calidad de cartera, eficiencia y retorno sobre activos (ROA) y la variable dicotómica respecto a la incorporación al Índice de Buen Gobierno </w:t>
      </w:r>
      <w:r w:rsidR="00330AB5">
        <w:t>Corporativo de la bolsa de valores de lima, considerando una temporalidad del 2011 al 2016.</w:t>
      </w:r>
    </w:p>
    <w:p w:rsidR="00E8285F" w:rsidRDefault="00E8285F" w:rsidP="003F1F57"/>
    <w:p w:rsidR="00F265E6" w:rsidRDefault="00E8285F" w:rsidP="003F1F57">
      <w:r w:rsidRPr="00E8285F">
        <w:rPr>
          <w:b/>
        </w:rPr>
        <w:t>Palabras clave:</w:t>
      </w:r>
      <w:r>
        <w:t xml:space="preserve"> Sector bancario, Bolsa de Valores de Lima - BVL, Finanzas, Gobierno Corporativo, índice de buen gobierno corporativo (IBGC).</w:t>
      </w:r>
    </w:p>
    <w:p w:rsidR="00E8285F" w:rsidRDefault="00E8285F" w:rsidP="003F1F57"/>
    <w:p w:rsidR="00F265E6" w:rsidRDefault="00400F6C" w:rsidP="003F1F57">
      <w:pPr>
        <w:pStyle w:val="Ttulo1"/>
      </w:pPr>
      <w:r w:rsidRPr="00F265E6">
        <w:t>Introducción</w:t>
      </w:r>
    </w:p>
    <w:p w:rsidR="00D1383A" w:rsidRDefault="004B3F7C" w:rsidP="003F1F57">
      <w:r w:rsidRPr="004B3F7C">
        <w:t xml:space="preserve">En los años 90, se puso más énfasis en el tema de gobierno corporativo, ya que en los países europeos se inició el proceso de privatización, tomando mayor relevancia en los últimos años por los diversos escándalos de compañías como por ejemplo Enron, </w:t>
      </w:r>
      <w:proofErr w:type="spellStart"/>
      <w:r w:rsidRPr="004B3F7C">
        <w:t>Theranos</w:t>
      </w:r>
      <w:proofErr w:type="spellEnd"/>
      <w:r w:rsidRPr="004B3F7C">
        <w:t xml:space="preserve">, </w:t>
      </w:r>
      <w:proofErr w:type="spellStart"/>
      <w:r w:rsidRPr="004B3F7C">
        <w:t>Worldcom</w:t>
      </w:r>
      <w:proofErr w:type="spellEnd"/>
      <w:r w:rsidRPr="004B3F7C">
        <w:t xml:space="preserve"> </w:t>
      </w:r>
      <w:r w:rsidR="003F1F57" w:rsidRPr="003F1F57">
        <w:t>(Acosta, Barreda, Díaz y Viso, 2016).</w:t>
      </w:r>
      <w:r w:rsidR="003F1F57">
        <w:t xml:space="preserve"> </w:t>
      </w:r>
      <w:r w:rsidR="00F27664" w:rsidRPr="00F27664">
        <w:t xml:space="preserve">Así en las últimas décadas, el gobierno corporativo ha sido una herramienta fundamental para que las empresas puedan desarrollar ventajas competitivas. Asimismo, las organizaciones grandes que no se pudieron adaptar a la utilización de prácticas de buen gobierno corporativo, han generado desconfianza en sus accionistas y en inversores que veían con buenos ojos a sus organizaciones.  </w:t>
      </w:r>
    </w:p>
    <w:p w:rsidR="00D1383A" w:rsidRDefault="00D1383A" w:rsidP="003F1F57"/>
    <w:p w:rsidR="00956579" w:rsidRDefault="00F27664" w:rsidP="003F1F57">
      <w:r w:rsidRPr="00F27664">
        <w:t xml:space="preserve">En la región de Sudamérica, por lo general, se evidencia que hay un bajo nivel de </w:t>
      </w:r>
      <w:proofErr w:type="gramStart"/>
      <w:r w:rsidRPr="00F27664">
        <w:t>inversión</w:t>
      </w:r>
      <w:proofErr w:type="gramEnd"/>
      <w:r w:rsidRPr="00F27664">
        <w:t xml:space="preserve"> en el mercado bursátil, ya que los inversionistas buscan que las compañías en donde invierten cuenten con un programa de buenas prácticas de gobierno corporativo, pues estos posibilitan a una mayor confianza en la organización en donde se desea invertir. Esta confianza del inversionista la podemos encontrar en uno de los pilares del gobierno corporativo (Castro y Brown, 2009), la transparencia de información, que viene acompañada de principios como política de información, muestra de Estados Financieros, la información de la estructura accionaria y acuerdos entre accionistas y el in</w:t>
      </w:r>
      <w:r w:rsidR="00F406F7">
        <w:t xml:space="preserve">forme del gobierno corporativo. </w:t>
      </w:r>
    </w:p>
    <w:p w:rsidR="00956579" w:rsidRDefault="00956579" w:rsidP="003F1F57"/>
    <w:p w:rsidR="003F1F57" w:rsidRDefault="00854F8A" w:rsidP="003F1F57">
      <w:r w:rsidRPr="00854F8A">
        <w:t xml:space="preserve">Las prácticas de buen gobierno están constituidas por 5 pilares, los cuales son clave para toda organización, ya que contribuyen como una guía en el desarrollo de sus actividades; por ello, </w:t>
      </w:r>
      <w:proofErr w:type="spellStart"/>
      <w:r w:rsidRPr="00854F8A">
        <w:t>Mouselli</w:t>
      </w:r>
      <w:proofErr w:type="spellEnd"/>
      <w:r w:rsidRPr="00854F8A">
        <w:t xml:space="preserve"> y </w:t>
      </w:r>
      <w:proofErr w:type="spellStart"/>
      <w:r w:rsidRPr="00854F8A">
        <w:t>Hussainey</w:t>
      </w:r>
      <w:proofErr w:type="spellEnd"/>
      <w:r w:rsidRPr="00854F8A">
        <w:t xml:space="preserve"> (2014) argumentan que las empresas </w:t>
      </w:r>
      <w:r w:rsidRPr="00854F8A">
        <w:lastRenderedPageBreak/>
        <w:t>con mecanismos de Gobierno Corporativo efectivos son capaces de monitorear directamente a sus gerentes, lo que a su vez, alinea los intereses de los gerentes con los intereses de los accionistas y reduce el problema de agencia que surge de la separación de la propiedad.</w:t>
      </w:r>
      <w:r>
        <w:t xml:space="preserve"> </w:t>
      </w:r>
    </w:p>
    <w:p w:rsidR="00D1383A" w:rsidRDefault="00D1383A" w:rsidP="003F1F57"/>
    <w:p w:rsidR="004B3F7C" w:rsidRPr="003F1F57" w:rsidRDefault="004B3F7C" w:rsidP="003F1F57">
      <w:r w:rsidRPr="007F577C">
        <w:t>En los últimos años no se ha podido determinar empíricamente la asociación que tiene</w:t>
      </w:r>
      <w:r>
        <w:t>n</w:t>
      </w:r>
      <w:r w:rsidRPr="007F577C">
        <w:t xml:space="preserve"> las prácticas de buen gobierno corporativo con el valor económico de las empresas del sector bancario listadas en la Bolsa d</w:t>
      </w:r>
      <w:r>
        <w:t xml:space="preserve">e Valores de Lima; por ello, </w:t>
      </w:r>
      <w:r w:rsidRPr="007F577C">
        <w:t xml:space="preserve">en este trabajo </w:t>
      </w:r>
      <w:r>
        <w:t>se planteará</w:t>
      </w:r>
      <w:r w:rsidRPr="007F577C">
        <w:t xml:space="preserve"> un modelo que </w:t>
      </w:r>
      <w:r>
        <w:t xml:space="preserve">pretende </w:t>
      </w:r>
      <w:r w:rsidRPr="007F577C">
        <w:t xml:space="preserve">asociar estos conceptos.  </w:t>
      </w:r>
    </w:p>
    <w:p w:rsidR="003F1F57" w:rsidRPr="003F1F57" w:rsidRDefault="003F1F57" w:rsidP="003F1F57"/>
    <w:p w:rsidR="00F265E6" w:rsidRDefault="0057654F" w:rsidP="0057654F">
      <w:pPr>
        <w:pStyle w:val="Ttulo1"/>
      </w:pPr>
      <w:r>
        <w:t>Marco Teórico</w:t>
      </w:r>
    </w:p>
    <w:p w:rsidR="00B16D14" w:rsidRDefault="00B16D14" w:rsidP="00B16D14">
      <w:pPr>
        <w:pStyle w:val="Ttulo2"/>
      </w:pPr>
      <w:r>
        <w:t>Gobierno Corporativo</w:t>
      </w:r>
    </w:p>
    <w:p w:rsidR="00D1383A" w:rsidRDefault="00B16D14" w:rsidP="0033438F">
      <w:r w:rsidRPr="00B16D14">
        <w:t>De acuerdo a Saona  y San Martín (2016) existen múltiples definiciones de Gobierno corporativo. Sin embargo, todas ellas se construyen, primero, como un conjunto de patrones de comportamiento y, segundo, como un marco normativo que define la forma en que las empresa</w:t>
      </w:r>
      <w:r w:rsidR="00D1383A">
        <w:t xml:space="preserve">s son gobernadas </w:t>
      </w:r>
      <w:r w:rsidRPr="00B16D14">
        <w:t>(</w:t>
      </w:r>
      <w:proofErr w:type="spellStart"/>
      <w:r w:rsidRPr="00B16D14">
        <w:t>Claessens</w:t>
      </w:r>
      <w:proofErr w:type="spellEnd"/>
      <w:r w:rsidRPr="00B16D14">
        <w:t xml:space="preserve"> y </w:t>
      </w:r>
      <w:proofErr w:type="spellStart"/>
      <w:r w:rsidRPr="00B16D14">
        <w:t>Yurtoglu</w:t>
      </w:r>
      <w:proofErr w:type="spellEnd"/>
      <w:r w:rsidRPr="00B16D14">
        <w:t>, 2013; citado). Entonces, el gobierno corporativo puede entenderse como el conjunto de mecanismos generados tanto interna como externamente a través de los cuales las organizaciones operan cuando se separa la propiedad de la gestión para asegurar la maximización de riqueza de los accionistas.</w:t>
      </w:r>
      <w:r w:rsidR="000E44AA">
        <w:t xml:space="preserve"> </w:t>
      </w:r>
    </w:p>
    <w:p w:rsidR="00D1383A" w:rsidRDefault="00D1383A" w:rsidP="0033438F"/>
    <w:p w:rsidR="00956579" w:rsidRDefault="000E44AA" w:rsidP="0033438F">
      <w:r>
        <w:t>L</w:t>
      </w:r>
      <w:r w:rsidRPr="00B16D14">
        <w:t xml:space="preserve">a literatura coincide en describirlo como un sistema a través del cual las empresas son dirigidas y controladas. Asimismo, se presume que un buen gobierno corporativo ayudaría a operar de manera más eficiente, atraer y retener capital financiero y humano, mitigar riesgos, evitar la mala gestión y crear valor </w:t>
      </w:r>
      <w:r w:rsidR="00956579">
        <w:t xml:space="preserve">económico para la organización </w:t>
      </w:r>
      <w:r w:rsidRPr="00B16D14">
        <w:t>(BVL, 2008; IFC, 2014).</w:t>
      </w:r>
      <w:r w:rsidR="00CC082F">
        <w:t xml:space="preserve"> </w:t>
      </w:r>
    </w:p>
    <w:p w:rsidR="00956579" w:rsidRDefault="00956579" w:rsidP="0033438F"/>
    <w:p w:rsidR="00D1383A" w:rsidRDefault="00B16D14" w:rsidP="0033438F">
      <w:r w:rsidRPr="00B16D14">
        <w:t>El gobierno corporativo contribuye a la toma de decisiones y</w:t>
      </w:r>
      <w:r w:rsidR="00AF4C63">
        <w:t xml:space="preserve"> permite mantener en equilibro </w:t>
      </w:r>
      <w:r w:rsidRPr="00B16D14">
        <w:t>la relación entre los accionistas y direc</w:t>
      </w:r>
      <w:r w:rsidR="00AF4C63">
        <w:t xml:space="preserve">tivos, esto según Bohórquez </w:t>
      </w:r>
      <w:r w:rsidRPr="00B16D14">
        <w:t>(2011)</w:t>
      </w:r>
      <w:r w:rsidR="00AF4C63">
        <w:t>,</w:t>
      </w:r>
      <w:r w:rsidRPr="00B16D14">
        <w:t xml:space="preserve"> quien indica que el gobierno corporativo es un sistema para la dir</w:t>
      </w:r>
      <w:r w:rsidR="00AF4C63">
        <w:t>ección y el control empresarial que</w:t>
      </w:r>
      <w:r w:rsidRPr="00B16D14">
        <w:t xml:space="preserve"> se sustenta en los problemas de agencia y costos de transacción desarrollad</w:t>
      </w:r>
      <w:r w:rsidR="00AF4C63">
        <w:t>os principalmente con el neo-</w:t>
      </w:r>
      <w:r w:rsidRPr="00B16D14">
        <w:t xml:space="preserve">institucionalismo. Asimismo, según </w:t>
      </w:r>
      <w:proofErr w:type="spellStart"/>
      <w:r w:rsidRPr="00B16D14">
        <w:t>Kamesam</w:t>
      </w:r>
      <w:proofErr w:type="spellEnd"/>
      <w:r w:rsidRPr="00B16D14">
        <w:t xml:space="preserve"> (2001)</w:t>
      </w:r>
      <w:r w:rsidR="00AF4C63">
        <w:t>,</w:t>
      </w:r>
      <w:r w:rsidRPr="00B16D14">
        <w:t xml:space="preserve"> el gobierno corporativo se define como una forma más adecuada de realizar las actividades de la empresa, con el objetivo de mejorar las relaciones entre la compañía y sus a</w:t>
      </w:r>
      <w:r w:rsidR="00AF4C63">
        <w:t>ccionistas,</w:t>
      </w:r>
      <w:r w:rsidRPr="00B16D14">
        <w:t xml:space="preserve"> mejorar la calidad de los </w:t>
      </w:r>
      <w:r w:rsidR="00AF4C63">
        <w:t xml:space="preserve">miembros de la Junta Directiva, </w:t>
      </w:r>
      <w:r w:rsidRPr="00B16D14">
        <w:t>animar a la admini</w:t>
      </w:r>
      <w:r w:rsidR="00AF4C63">
        <w:t>stración a pensar a largo plazo,</w:t>
      </w:r>
      <w:r w:rsidRPr="00B16D14">
        <w:t xml:space="preserve"> asegurar que la infor</w:t>
      </w:r>
      <w:r w:rsidR="00AF4C63">
        <w:t xml:space="preserve">mación financiera es apropiada y </w:t>
      </w:r>
      <w:r w:rsidRPr="00B16D14">
        <w:t>asegurar que la gerencia es fiscalizada en el mejor interés de los accionistas.</w:t>
      </w:r>
      <w:r w:rsidR="0033438F">
        <w:t xml:space="preserve"> </w:t>
      </w:r>
    </w:p>
    <w:p w:rsidR="00D1383A" w:rsidRDefault="00D1383A" w:rsidP="0033438F"/>
    <w:p w:rsidR="00B16D14" w:rsidRDefault="00B16D14" w:rsidP="0033438F">
      <w:r>
        <w:t>La Organización para la Cooperación y el Desarrollo Económicos, en adelante OCDE (2004), publicó un conjunto de principios con la finalidad de apoyar a los países en la aplicación de marcos de referencia adap</w:t>
      </w:r>
      <w:r w:rsidR="00AF4C63">
        <w:t xml:space="preserve">tables al gobierno corporativo. Asimismo, </w:t>
      </w:r>
      <w:r>
        <w:t>sugiere que a través de estos principios se apoye a los Estados, instituciones e inversionistas, para la implementación de políticas de buen gobierno corporativo que fomenten la competitividad</w:t>
      </w:r>
      <w:r w:rsidR="0033438F">
        <w:t xml:space="preserve">. </w:t>
      </w:r>
      <w:r w:rsidR="00AF4C63">
        <w:t>A</w:t>
      </w:r>
      <w:r w:rsidRPr="007F577C">
        <w:t>s</w:t>
      </w:r>
      <w:r w:rsidR="00AF4C63">
        <w:t>im</w:t>
      </w:r>
      <w:r w:rsidRPr="007F577C">
        <w:t>ismo</w:t>
      </w:r>
      <w:r w:rsidR="00AF4C63">
        <w:t xml:space="preserve">, en </w:t>
      </w:r>
      <w:r w:rsidR="00AA04EA">
        <w:t>esa línea,</w:t>
      </w:r>
      <w:r w:rsidRPr="007F577C">
        <w:t xml:space="preserve"> la </w:t>
      </w:r>
      <w:r w:rsidR="00AF4C63">
        <w:lastRenderedPageBreak/>
        <w:t>Superintendencia de Mercado de Valores, SMV</w:t>
      </w:r>
      <w:r>
        <w:t xml:space="preserve"> </w:t>
      </w:r>
      <w:r w:rsidR="00AF4C63">
        <w:t>(</w:t>
      </w:r>
      <w:r>
        <w:t>2014)</w:t>
      </w:r>
      <w:r w:rsidR="00AF4C63">
        <w:t>,</w:t>
      </w:r>
      <w:r>
        <w:t xml:space="preserve"> </w:t>
      </w:r>
      <w:r w:rsidR="00AA04EA">
        <w:t>publicó</w:t>
      </w:r>
      <w:r w:rsidR="00AF4C63">
        <w:t xml:space="preserve"> cinco</w:t>
      </w:r>
      <w:r w:rsidRPr="007F577C">
        <w:t xml:space="preserve"> pilares </w:t>
      </w:r>
      <w:r w:rsidR="00AF4C63">
        <w:t>aplicables por cualquier</w:t>
      </w:r>
      <w:r w:rsidRPr="007F577C">
        <w:t xml:space="preserve"> empresa</w:t>
      </w:r>
      <w:r w:rsidR="00AA04EA">
        <w:t xml:space="preserve"> peruana</w:t>
      </w:r>
      <w:r w:rsidRPr="007F577C">
        <w:t xml:space="preserve"> para realizar buenas prá</w:t>
      </w:r>
      <w:r w:rsidR="00AA04EA">
        <w:t xml:space="preserve">cticas de gobierno corporativo: </w:t>
      </w:r>
      <w:r w:rsidRPr="007F577C">
        <w:t>derecho de los socios o accionistas, tratamiento equitativo de los socios, responsabilidad y funciones del directori</w:t>
      </w:r>
      <w:r w:rsidR="00AF4C63">
        <w:t>o, revelación de la información y</w:t>
      </w:r>
      <w:r w:rsidRPr="007F577C">
        <w:t xml:space="preserve"> grupos de interés de la empresa. </w:t>
      </w:r>
    </w:p>
    <w:p w:rsidR="00B16D14" w:rsidRDefault="00B16D14" w:rsidP="00B16D14"/>
    <w:p w:rsidR="00B16D14" w:rsidRDefault="00B16D14" w:rsidP="00B16D14">
      <w:pPr>
        <w:pStyle w:val="Ttulo3"/>
      </w:pPr>
      <w:r>
        <w:t>Gobierno Corporativo relacionado con el retorno, valor de la firma y liquidez</w:t>
      </w:r>
    </w:p>
    <w:p w:rsidR="00956579" w:rsidRDefault="005E2A20" w:rsidP="00B16D14">
      <w:r>
        <w:t>Entre los beneficios de la implementación d</w:t>
      </w:r>
      <w:r w:rsidR="00BB053A" w:rsidRPr="00BB053A">
        <w:t xml:space="preserve">el Buen Gobierno Corporativo, la CAF (2010) </w:t>
      </w:r>
      <w:r>
        <w:t>menciona</w:t>
      </w:r>
      <w:r w:rsidR="00BB053A" w:rsidRPr="00BB053A">
        <w:t xml:space="preserve"> un clima de confianza y transparencia entre los diferentes agentes con los que se establecen relaciones para finalmente generar un mayor valor para la empresa en un periodo dete</w:t>
      </w:r>
      <w:r w:rsidR="00BB053A">
        <w:t>rminado (</w:t>
      </w:r>
      <w:proofErr w:type="spellStart"/>
      <w:r w:rsidR="00BB053A">
        <w:t>Bolaños</w:t>
      </w:r>
      <w:proofErr w:type="spellEnd"/>
      <w:r w:rsidR="00BB053A">
        <w:t xml:space="preserve"> et at., 2014; citado en Lizarzaburu y </w:t>
      </w:r>
      <w:proofErr w:type="spellStart"/>
      <w:r w:rsidR="00BB053A">
        <w:t>Burneo</w:t>
      </w:r>
      <w:proofErr w:type="spellEnd"/>
      <w:r w:rsidR="00BB053A">
        <w:t xml:space="preserve">, </w:t>
      </w:r>
      <w:r>
        <w:t xml:space="preserve">2016). </w:t>
      </w:r>
      <w:r w:rsidR="00AA04EA">
        <w:t xml:space="preserve">Un estudio aplicado a empresas europeas que  cotizan en bolsa, señalo que una vez instalado, el gobierno corporativo y </w:t>
      </w:r>
      <w:r w:rsidR="00AA04EA" w:rsidRPr="00AA04EA">
        <w:t>un entorno de divulgación de alta calidad, conducen a un mayor valor de la empresa, especialmente en empresas con un grave conflicto de agencia</w:t>
      </w:r>
      <w:r w:rsidR="00AA04EA">
        <w:t xml:space="preserve"> (</w:t>
      </w:r>
      <w:proofErr w:type="spellStart"/>
      <w:r w:rsidR="00AA04EA">
        <w:t>Renders</w:t>
      </w:r>
      <w:proofErr w:type="spellEnd"/>
      <w:r w:rsidR="00AA04EA">
        <w:t xml:space="preserve"> y </w:t>
      </w:r>
      <w:proofErr w:type="spellStart"/>
      <w:r w:rsidR="00AA04EA">
        <w:t>Gaeremynck</w:t>
      </w:r>
      <w:proofErr w:type="spellEnd"/>
      <w:r w:rsidR="00AA04EA">
        <w:t>, 2011)</w:t>
      </w:r>
      <w:r w:rsidR="00AA04EA" w:rsidRPr="00AA04EA">
        <w:t>.</w:t>
      </w:r>
      <w:r w:rsidR="00AA04EA">
        <w:t xml:space="preserve"> </w:t>
      </w:r>
    </w:p>
    <w:p w:rsidR="00956579" w:rsidRDefault="00956579" w:rsidP="00B16D14"/>
    <w:p w:rsidR="00B16D14" w:rsidRDefault="0090124F" w:rsidP="00B16D14">
      <w:r>
        <w:t xml:space="preserve">En esa línea, </w:t>
      </w:r>
      <w:proofErr w:type="spellStart"/>
      <w:r>
        <w:t>Ficici</w:t>
      </w:r>
      <w:proofErr w:type="spellEnd"/>
      <w:r>
        <w:t xml:space="preserve"> y </w:t>
      </w:r>
      <w:proofErr w:type="spellStart"/>
      <w:r>
        <w:t>Aybar</w:t>
      </w:r>
      <w:proofErr w:type="spellEnd"/>
      <w:r>
        <w:t xml:space="preserve"> (2012), aseguran que existe una creciente cantidad de literatura que relaciona el valor de la firma y el gobierno corporativo, dentro de la cual cita estudios como el de </w:t>
      </w:r>
      <w:proofErr w:type="spellStart"/>
      <w:r>
        <w:t>Doidge</w:t>
      </w:r>
      <w:proofErr w:type="spellEnd"/>
      <w:r>
        <w:t xml:space="preserve"> et al (2001), en el que características como inadecuados derechos de los accionistas y protección de interés de minoritario se relacionan con un desempeño pobre y menor valor. Asimismo, un estudio de Black, </w:t>
      </w:r>
      <w:proofErr w:type="spellStart"/>
      <w:r>
        <w:t>Jang</w:t>
      </w:r>
      <w:proofErr w:type="spellEnd"/>
      <w:r>
        <w:t xml:space="preserve"> y Kim (2003), demuestra que el gobierno corporativo es una dinámica que explica el valor de las empresas públicas en Corea del Sur. Tras </w:t>
      </w:r>
      <w:r w:rsidR="00546AAC">
        <w:t xml:space="preserve">la aplicación de su modelo, </w:t>
      </w:r>
      <w:proofErr w:type="spellStart"/>
      <w:r w:rsidR="00546AAC">
        <w:t>Ficici</w:t>
      </w:r>
      <w:proofErr w:type="spellEnd"/>
      <w:r w:rsidR="00546AAC">
        <w:t xml:space="preserve"> y </w:t>
      </w:r>
      <w:proofErr w:type="spellStart"/>
      <w:r w:rsidR="00546AAC">
        <w:t>Aybar</w:t>
      </w:r>
      <w:proofErr w:type="spellEnd"/>
      <w:r w:rsidR="00546AAC">
        <w:t xml:space="preserve"> (2012), demostraron que el gobierno corporativo y el valor de la empresa, medido a través de la Q de </w:t>
      </w:r>
      <w:proofErr w:type="spellStart"/>
      <w:r w:rsidR="00546AAC">
        <w:t>Tobin</w:t>
      </w:r>
      <w:proofErr w:type="spellEnd"/>
      <w:r w:rsidR="00546AAC">
        <w:t xml:space="preserve">, tienen una correlación positiva. </w:t>
      </w:r>
    </w:p>
    <w:p w:rsidR="0090124F" w:rsidRDefault="0090124F" w:rsidP="00B16D14"/>
    <w:p w:rsidR="00B16D14" w:rsidRPr="00B16D14" w:rsidRDefault="00B16D14" w:rsidP="00B16D14">
      <w:pPr>
        <w:pStyle w:val="Ttulo3"/>
      </w:pPr>
      <w:r>
        <w:t>Gobierno Corporativo relacionado con las firmas del sector bancario</w:t>
      </w:r>
    </w:p>
    <w:p w:rsidR="00956579" w:rsidRDefault="003F4F98" w:rsidP="000E1997">
      <w:r>
        <w:t>Existe mucha evidencia empírica</w:t>
      </w:r>
      <w:r w:rsidR="000E1997">
        <w:t xml:space="preserve"> sobre el gobierno corporativo aplicado a distintos sectores empresariales, sin embargo</w:t>
      </w:r>
      <w:r>
        <w:t xml:space="preserve">, no </w:t>
      </w:r>
      <w:proofErr w:type="spellStart"/>
      <w:r>
        <w:t>eviste</w:t>
      </w:r>
      <w:proofErr w:type="spellEnd"/>
      <w:r>
        <w:t xml:space="preserve"> mucha evidencia respecto a </w:t>
      </w:r>
      <w:r w:rsidR="000E1997">
        <w:t>gobierno corporati</w:t>
      </w:r>
      <w:r>
        <w:t xml:space="preserve">vo aplicado al sector bancario. </w:t>
      </w:r>
      <w:proofErr w:type="spellStart"/>
      <w:r w:rsidR="000E1997">
        <w:t>Ciancanelli</w:t>
      </w:r>
      <w:proofErr w:type="spellEnd"/>
      <w:r w:rsidR="000E1997">
        <w:t xml:space="preserve"> y Reyes (2000) </w:t>
      </w:r>
      <w:r>
        <w:t xml:space="preserve">argumentan </w:t>
      </w:r>
      <w:r w:rsidR="000E1997">
        <w:t>que el conocimiento de que los bancos comerciales son</w:t>
      </w:r>
      <w:r>
        <w:t>,</w:t>
      </w:r>
      <w:r w:rsidR="000E1997">
        <w:t xml:space="preserve"> de alguna manera</w:t>
      </w:r>
      <w:r>
        <w:t>,</w:t>
      </w:r>
      <w:r w:rsidR="000E1997">
        <w:t xml:space="preserve"> diferentes </w:t>
      </w:r>
      <w:r>
        <w:t>a</w:t>
      </w:r>
      <w:r w:rsidR="000E1997">
        <w:t xml:space="preserve"> otras corporaciones</w:t>
      </w:r>
      <w:r>
        <w:t>,</w:t>
      </w:r>
      <w:r w:rsidR="000E1997">
        <w:t xml:space="preserve"> </w:t>
      </w:r>
      <w:r>
        <w:t>podría</w:t>
      </w:r>
      <w:r w:rsidR="000E1997">
        <w:t xml:space="preserve"> explicar</w:t>
      </w:r>
      <w:r>
        <w:t xml:space="preserve"> el</w:t>
      </w:r>
      <w:r w:rsidR="000E1997">
        <w:t xml:space="preserve"> por qué ha habido </w:t>
      </w:r>
      <w:r>
        <w:t>poca investigación, tanto empírica como teórica,</w:t>
      </w:r>
      <w:r w:rsidR="000E1997">
        <w:t xml:space="preserve"> sobre </w:t>
      </w:r>
      <w:r>
        <w:t xml:space="preserve">su aplicación de gobierno corporativo. </w:t>
      </w:r>
    </w:p>
    <w:p w:rsidR="00956579" w:rsidRDefault="00956579" w:rsidP="000E1997"/>
    <w:p w:rsidR="000E1997" w:rsidRDefault="00AF4C63" w:rsidP="000E1997">
      <w:r w:rsidRPr="000E1997">
        <w:t xml:space="preserve">Las entidades </w:t>
      </w:r>
      <w:r>
        <w:t xml:space="preserve">del </w:t>
      </w:r>
      <w:r w:rsidRPr="000E1997">
        <w:t>sector bancario cada vez son más impor</w:t>
      </w:r>
      <w:r>
        <w:t xml:space="preserve">tantes en el desarrollo de un país, </w:t>
      </w:r>
      <w:r w:rsidRPr="000E1997">
        <w:t xml:space="preserve">ya que permiten desarrollar </w:t>
      </w:r>
      <w:r>
        <w:t>los negocios. Haciendo referencia</w:t>
      </w:r>
      <w:r w:rsidRPr="000E1997">
        <w:t xml:space="preserve"> al gobierno corporativo del sector banc</w:t>
      </w:r>
      <w:r>
        <w:t xml:space="preserve">ario, </w:t>
      </w:r>
      <w:proofErr w:type="spellStart"/>
      <w:r>
        <w:t>Mersland</w:t>
      </w:r>
      <w:proofErr w:type="spellEnd"/>
      <w:r>
        <w:t xml:space="preserve"> y </w:t>
      </w:r>
      <w:proofErr w:type="spellStart"/>
      <w:r>
        <w:t>Strom</w:t>
      </w:r>
      <w:proofErr w:type="spellEnd"/>
      <w:r>
        <w:t xml:space="preserve"> (2009) y </w:t>
      </w:r>
      <w:proofErr w:type="spellStart"/>
      <w:r>
        <w:t>Hartaska</w:t>
      </w:r>
      <w:proofErr w:type="spellEnd"/>
      <w:r>
        <w:t xml:space="preserve"> (2005)</w:t>
      </w:r>
      <w:r w:rsidRPr="000E1997">
        <w:t xml:space="preserve"> </w:t>
      </w:r>
      <w:r>
        <w:t>señalan</w:t>
      </w:r>
      <w:r w:rsidRPr="000E1997">
        <w:t xml:space="preserve"> que las mejores prácticas de los mecanismos de gobernanza de </w:t>
      </w:r>
      <w:r>
        <w:t>empresas</w:t>
      </w:r>
      <w:r w:rsidRPr="000E1997">
        <w:t xml:space="preserve"> </w:t>
      </w:r>
      <w:r>
        <w:t>en mercados maduros,</w:t>
      </w:r>
      <w:r w:rsidRPr="000E1997">
        <w:t xml:space="preserve"> generalmente</w:t>
      </w:r>
      <w:r>
        <w:t>, no tienen</w:t>
      </w:r>
      <w:r w:rsidRPr="000E1997">
        <w:t xml:space="preserve"> mucha inf</w:t>
      </w:r>
      <w:r>
        <w:t>luencia en el desempeño de las i</w:t>
      </w:r>
      <w:r w:rsidRPr="000E1997">
        <w:t xml:space="preserve">nstituciones </w:t>
      </w:r>
      <w:r>
        <w:t xml:space="preserve">del sector </w:t>
      </w:r>
      <w:proofErr w:type="spellStart"/>
      <w:r>
        <w:t>microfinanciero</w:t>
      </w:r>
      <w:proofErr w:type="spellEnd"/>
      <w:r>
        <w:t xml:space="preserve">. </w:t>
      </w:r>
      <w:r w:rsidR="003F4F98">
        <w:t xml:space="preserve">Dentro de la literatura revisada, un estudio reciente aplicado a instituciones financieras en </w:t>
      </w:r>
      <w:proofErr w:type="spellStart"/>
      <w:r w:rsidR="003F4F98">
        <w:t>Kenya</w:t>
      </w:r>
      <w:proofErr w:type="spellEnd"/>
      <w:r w:rsidR="003F4F98">
        <w:t xml:space="preserve">; en el que se realizó un análisis de regresión a los resultados de un cuestionario aplicado a 108 bancos, </w:t>
      </w:r>
      <w:proofErr w:type="spellStart"/>
      <w:r w:rsidR="003F4F98">
        <w:t>microfinancieras</w:t>
      </w:r>
      <w:proofErr w:type="spellEnd"/>
      <w:r w:rsidR="003F4F98">
        <w:t xml:space="preserve">, cooperativas y otras instituciones del país; demostró que el </w:t>
      </w:r>
      <w:r w:rsidR="003F4F98">
        <w:lastRenderedPageBreak/>
        <w:t>gobierno corporativo tiene influencia estadísticamente significativa sobre el desempeño de tales instituciones (</w:t>
      </w:r>
      <w:proofErr w:type="spellStart"/>
      <w:r w:rsidR="003F4F98">
        <w:t>Kamau</w:t>
      </w:r>
      <w:proofErr w:type="spellEnd"/>
      <w:r w:rsidR="003F4F98">
        <w:t xml:space="preserve">, </w:t>
      </w:r>
      <w:proofErr w:type="spellStart"/>
      <w:r w:rsidR="003F4F98">
        <w:t>Machuki</w:t>
      </w:r>
      <w:proofErr w:type="spellEnd"/>
      <w:r w:rsidR="003F4F98">
        <w:t xml:space="preserve"> y </w:t>
      </w:r>
      <w:proofErr w:type="spellStart"/>
      <w:r w:rsidR="003F4F98">
        <w:t>Aosa</w:t>
      </w:r>
      <w:proofErr w:type="spellEnd"/>
      <w:r w:rsidR="003F4F98">
        <w:t xml:space="preserve">, 2018). </w:t>
      </w:r>
    </w:p>
    <w:p w:rsidR="00B16D14" w:rsidRPr="00B16D14" w:rsidRDefault="00B16D14" w:rsidP="00B16D14"/>
    <w:p w:rsidR="00B16D14" w:rsidRDefault="00B16D14" w:rsidP="00B16D14">
      <w:pPr>
        <w:pStyle w:val="Ttulo2"/>
      </w:pPr>
      <w:r>
        <w:t>Valor</w:t>
      </w:r>
      <w:r w:rsidR="001E05B4">
        <w:t>iz</w:t>
      </w:r>
      <w:r>
        <w:t>ación de empresas</w:t>
      </w:r>
    </w:p>
    <w:p w:rsidR="00D1383A" w:rsidRDefault="001E05B4" w:rsidP="00B16D14">
      <w:r>
        <w:t>Parra (2013), define la valorización de empre</w:t>
      </w:r>
      <w:r w:rsidR="00C00384">
        <w:t>s</w:t>
      </w:r>
      <w:r>
        <w:t xml:space="preserve">as como </w:t>
      </w:r>
      <w:r w:rsidRPr="001E05B4">
        <w:t xml:space="preserve">un proceso mediante el cual se asignan cifras a eventos o hechos </w:t>
      </w:r>
      <w:proofErr w:type="spellStart"/>
      <w:r w:rsidRPr="001E05B4">
        <w:t>económicos</w:t>
      </w:r>
      <w:proofErr w:type="spellEnd"/>
      <w:r w:rsidRPr="001E05B4">
        <w:t xml:space="preserve">, de acuerdo con reglas, con unos </w:t>
      </w:r>
      <w:proofErr w:type="spellStart"/>
      <w:r w:rsidRPr="001E05B4">
        <w:t>propósitos</w:t>
      </w:r>
      <w:proofErr w:type="spellEnd"/>
      <w:r w:rsidRPr="001E05B4">
        <w:t xml:space="preserve"> particulares para dar a conocer al inversionista la </w:t>
      </w:r>
      <w:proofErr w:type="spellStart"/>
      <w:r w:rsidRPr="001E05B4">
        <w:t>recuperación</w:t>
      </w:r>
      <w:proofErr w:type="spellEnd"/>
      <w:r w:rsidRPr="001E05B4">
        <w:t xml:space="preserve"> de su capital en el presente, considerando unas variables que permitan determinar su v</w:t>
      </w:r>
      <w:r>
        <w:t xml:space="preserve">alor en el tiempo. </w:t>
      </w:r>
      <w:r w:rsidR="00B16D14">
        <w:t xml:space="preserve">Según López </w:t>
      </w:r>
      <w:proofErr w:type="spellStart"/>
      <w:r w:rsidR="00B16D14">
        <w:t>Lu</w:t>
      </w:r>
      <w:r w:rsidR="00C00384">
        <w:t>bián</w:t>
      </w:r>
      <w:proofErr w:type="spellEnd"/>
      <w:r w:rsidR="00C00384">
        <w:t>,</w:t>
      </w:r>
      <w:r w:rsidR="00B16D14">
        <w:t xml:space="preserve"> y De Luna </w:t>
      </w:r>
      <w:proofErr w:type="spellStart"/>
      <w:r w:rsidR="00B16D14">
        <w:t>Butz</w:t>
      </w:r>
      <w:proofErr w:type="spellEnd"/>
      <w:r w:rsidR="00B16D14">
        <w:t>, (2001), valorar una realidad económica no es tarea exclusivamente técnica: valorar es emitir una opinión, un juicio de valor, que siempre es subjetivo. En consecuencia, no existe un valor absoluto y único para una realidad econó</w:t>
      </w:r>
      <w:r w:rsidR="00C00384">
        <w:t xml:space="preserve">mica. </w:t>
      </w:r>
      <w:r w:rsidR="00CA58D6">
        <w:t xml:space="preserve">De acuerdo a </w:t>
      </w:r>
      <w:proofErr w:type="spellStart"/>
      <w:r w:rsidR="00CA58D6" w:rsidRPr="00CA58D6">
        <w:t>Assaf</w:t>
      </w:r>
      <w:proofErr w:type="spellEnd"/>
      <w:r w:rsidR="00CA58D6" w:rsidRPr="00CA58D6">
        <w:t xml:space="preserve"> Neto (1997)</w:t>
      </w:r>
      <w:r w:rsidR="00CA58D6">
        <w:t xml:space="preserve">, citado en </w:t>
      </w:r>
      <w:proofErr w:type="spellStart"/>
      <w:r w:rsidR="00CA58D6">
        <w:t>Kudlawicz</w:t>
      </w:r>
      <w:proofErr w:type="spellEnd"/>
      <w:r w:rsidR="00CA58D6">
        <w:t xml:space="preserve">, </w:t>
      </w:r>
      <w:proofErr w:type="spellStart"/>
      <w:r w:rsidR="00CA58D6">
        <w:t>Senff</w:t>
      </w:r>
      <w:proofErr w:type="spellEnd"/>
      <w:r w:rsidR="00CA58D6">
        <w:t xml:space="preserve"> y Bach (2015), e</w:t>
      </w:r>
      <w:r w:rsidR="00CA58D6" w:rsidRPr="00CA58D6">
        <w:t>n la valoración de las organizaciones, el valor de una empresa depende de la medición de la calidad de las inversiones y que ningún activo es más o menos atractivo, como reflejo de una decisión de financiación tomada.</w:t>
      </w:r>
      <w:r w:rsidR="00CA58D6">
        <w:t xml:space="preserve"> </w:t>
      </w:r>
    </w:p>
    <w:p w:rsidR="00D1383A" w:rsidRDefault="00D1383A" w:rsidP="00B16D14"/>
    <w:p w:rsidR="003C287E" w:rsidRDefault="00C00384" w:rsidP="00B16D14">
      <w:r>
        <w:t xml:space="preserve">Según Fernández </w:t>
      </w:r>
      <w:r w:rsidR="00B16D14">
        <w:t>(2005), en general</w:t>
      </w:r>
      <w:r w:rsidR="00CA58D6">
        <w:t>,</w:t>
      </w:r>
      <w:r w:rsidR="00B16D14">
        <w:t xml:space="preserve"> una empresa tiene distinto valor para diferentes compradores y para el vendedor. Una valoración sirve para distintos propósitos</w:t>
      </w:r>
      <w:r w:rsidR="00CA58D6">
        <w:t xml:space="preserve">, como por ejemplo: </w:t>
      </w:r>
      <w:r w:rsidR="00B16D14">
        <w:t>operaciones compra-venta, valoraciones de empresas cotizadas en bolsa, sistemas de remuneración basados en la creación de valor, salidas a bolsa, identificación de las variables conductoras de valor, decisiones estratégicas, procesos de arbitraje judicial, etc.</w:t>
      </w:r>
      <w:r w:rsidR="00F46A6F">
        <w:t xml:space="preserve"> Según Ramírez y Pérez de Lema</w:t>
      </w:r>
      <w:r w:rsidR="00B16D14">
        <w:t xml:space="preserve"> (2006)</w:t>
      </w:r>
      <w:r w:rsidR="00F46A6F">
        <w:t>,</w:t>
      </w:r>
      <w:r w:rsidR="00B16D14">
        <w:t xml:space="preserve"> la valoración se ha convertido en una disciplina objeto de estudio específico, que ha cobrado especial relevancia debido al interés que vienen mostrando las empresas al plantear sus </w:t>
      </w:r>
      <w:r w:rsidR="00F46A6F">
        <w:t xml:space="preserve">objetivos en términos de valor. </w:t>
      </w:r>
      <w:r w:rsidR="001E05B4" w:rsidRPr="001E05B4">
        <w:t>Existen múltiples métodos para valorizar empresas como los basados en el valor de los activos (valor contable o valor de mercado), por múltiplos financieros, valor presente del flujo de caja libre, utilidades o dividendos.</w:t>
      </w:r>
    </w:p>
    <w:p w:rsidR="00547F50" w:rsidRDefault="00547F50" w:rsidP="00B16D14"/>
    <w:p w:rsidR="003C287E" w:rsidRDefault="003C287E" w:rsidP="00B16D14">
      <w:r>
        <w:t xml:space="preserve">La siguiente Tabla 1 presenta un resumen de los métodos de valorización hallados en la revisión de la literatura: </w:t>
      </w:r>
    </w:p>
    <w:p w:rsidR="003C287E" w:rsidRDefault="003C287E" w:rsidP="00B16D14"/>
    <w:p w:rsidR="003C287E" w:rsidRPr="003C287E" w:rsidRDefault="003C287E" w:rsidP="00B16D14">
      <w:pPr>
        <w:rPr>
          <w:i/>
        </w:rPr>
      </w:pPr>
      <w:r w:rsidRPr="003C287E">
        <w:rPr>
          <w:i/>
        </w:rPr>
        <w:t>Tabla 1</w:t>
      </w:r>
    </w:p>
    <w:p w:rsidR="00AF4C63" w:rsidRPr="003C287E" w:rsidRDefault="003C287E" w:rsidP="00B16D14">
      <w:pPr>
        <w:rPr>
          <w:i/>
        </w:rPr>
      </w:pPr>
      <w:r w:rsidRPr="003C287E">
        <w:rPr>
          <w:i/>
        </w:rPr>
        <w:t>Resumen de métodos de valorización</w:t>
      </w:r>
    </w:p>
    <w:tbl>
      <w:tblPr>
        <w:tblStyle w:val="Tablaconcuadrcula"/>
        <w:tblW w:w="0" w:type="auto"/>
        <w:tblLook w:val="04A0" w:firstRow="1" w:lastRow="0" w:firstColumn="1" w:lastColumn="0" w:noHBand="0" w:noVBand="1"/>
      </w:tblPr>
      <w:tblGrid>
        <w:gridCol w:w="1366"/>
        <w:gridCol w:w="5743"/>
        <w:gridCol w:w="1719"/>
      </w:tblGrid>
      <w:tr w:rsidR="00AF4C63" w:rsidRPr="00714D76" w:rsidTr="00AF4C63">
        <w:tc>
          <w:tcPr>
            <w:tcW w:w="1129" w:type="dxa"/>
          </w:tcPr>
          <w:p w:rsidR="00AF4C63" w:rsidRPr="00714D76" w:rsidRDefault="00AF4C63" w:rsidP="00B16D14">
            <w:pPr>
              <w:rPr>
                <w:b/>
                <w:sz w:val="22"/>
              </w:rPr>
            </w:pPr>
            <w:r w:rsidRPr="00714D76">
              <w:rPr>
                <w:b/>
                <w:sz w:val="22"/>
              </w:rPr>
              <w:t>Método</w:t>
            </w:r>
          </w:p>
        </w:tc>
        <w:tc>
          <w:tcPr>
            <w:tcW w:w="5954" w:type="dxa"/>
          </w:tcPr>
          <w:p w:rsidR="00AF4C63" w:rsidRPr="00714D76" w:rsidRDefault="00AF4C63" w:rsidP="00B16D14">
            <w:pPr>
              <w:rPr>
                <w:b/>
                <w:sz w:val="22"/>
              </w:rPr>
            </w:pPr>
            <w:r w:rsidRPr="00714D76">
              <w:rPr>
                <w:b/>
                <w:sz w:val="22"/>
              </w:rPr>
              <w:t>Descripción</w:t>
            </w:r>
          </w:p>
        </w:tc>
        <w:tc>
          <w:tcPr>
            <w:tcW w:w="1745" w:type="dxa"/>
          </w:tcPr>
          <w:p w:rsidR="00AF4C63" w:rsidRPr="00714D76" w:rsidRDefault="00AF4C63" w:rsidP="00B16D14">
            <w:pPr>
              <w:rPr>
                <w:b/>
                <w:sz w:val="22"/>
              </w:rPr>
            </w:pPr>
            <w:r w:rsidRPr="00714D76">
              <w:rPr>
                <w:b/>
                <w:sz w:val="22"/>
              </w:rPr>
              <w:t>Base teórica</w:t>
            </w:r>
          </w:p>
        </w:tc>
      </w:tr>
      <w:tr w:rsidR="00AF4C63" w:rsidRPr="00714D76" w:rsidTr="00AF4C63">
        <w:tc>
          <w:tcPr>
            <w:tcW w:w="1129" w:type="dxa"/>
          </w:tcPr>
          <w:p w:rsidR="00AF4C63" w:rsidRPr="00714D76" w:rsidRDefault="00AF4C63" w:rsidP="00B16D14">
            <w:pPr>
              <w:rPr>
                <w:sz w:val="22"/>
              </w:rPr>
            </w:pPr>
            <w:r w:rsidRPr="00714D76">
              <w:rPr>
                <w:sz w:val="22"/>
              </w:rPr>
              <w:t>Métodos basados en el balance (valor patrimonial)</w:t>
            </w:r>
          </w:p>
        </w:tc>
        <w:tc>
          <w:tcPr>
            <w:tcW w:w="5954" w:type="dxa"/>
          </w:tcPr>
          <w:p w:rsidR="00AF4C63" w:rsidRPr="00714D76" w:rsidRDefault="00AF4C63" w:rsidP="00B16D14">
            <w:pPr>
              <w:rPr>
                <w:sz w:val="22"/>
              </w:rPr>
            </w:pPr>
            <w:r w:rsidRPr="00714D76">
              <w:rPr>
                <w:sz w:val="22"/>
              </w:rPr>
              <w:t>Considera que el valor de una empresa se encuentra fundamentalmente en su balance. Este método proporciona valor desde una perspectiva estática y no considera la evolución que la empresa puede tener en el futuro, el valor temporal del dinero ni otros factores que también se afectan.</w:t>
            </w:r>
            <w:r w:rsidR="00714D76">
              <w:rPr>
                <w:sz w:val="22"/>
              </w:rPr>
              <w:t xml:space="preserve"> </w:t>
            </w:r>
            <w:r w:rsidR="00714D76" w:rsidRPr="00714D76">
              <w:rPr>
                <w:i/>
                <w:sz w:val="22"/>
              </w:rPr>
              <w:t xml:space="preserve">Valor contable, valor contable ajustado, valor de </w:t>
            </w:r>
            <w:proofErr w:type="spellStart"/>
            <w:r w:rsidR="00714D76" w:rsidRPr="00714D76">
              <w:rPr>
                <w:i/>
                <w:sz w:val="22"/>
              </w:rPr>
              <w:t>liquidación</w:t>
            </w:r>
            <w:proofErr w:type="spellEnd"/>
            <w:r w:rsidR="00714D76" w:rsidRPr="00714D76">
              <w:rPr>
                <w:i/>
                <w:sz w:val="22"/>
              </w:rPr>
              <w:t>, valor sustancial.</w:t>
            </w:r>
          </w:p>
        </w:tc>
        <w:tc>
          <w:tcPr>
            <w:tcW w:w="1745" w:type="dxa"/>
          </w:tcPr>
          <w:p w:rsidR="00AF4C63" w:rsidRPr="00714D76" w:rsidRDefault="00AF4C63" w:rsidP="00B16D14">
            <w:pPr>
              <w:rPr>
                <w:sz w:val="22"/>
              </w:rPr>
            </w:pPr>
            <w:r w:rsidRPr="00714D76">
              <w:rPr>
                <w:sz w:val="22"/>
              </w:rPr>
              <w:t>Fernández (2008)</w:t>
            </w:r>
            <w:r w:rsidR="00193E39" w:rsidRPr="00714D76">
              <w:rPr>
                <w:sz w:val="22"/>
              </w:rPr>
              <w:t>; Córdova, García, Pérez</w:t>
            </w:r>
            <w:r w:rsidR="00714D76" w:rsidRPr="00714D76">
              <w:rPr>
                <w:sz w:val="22"/>
              </w:rPr>
              <w:t xml:space="preserve"> y Pinto (2017)</w:t>
            </w:r>
            <w:r w:rsidR="00714D76">
              <w:rPr>
                <w:sz w:val="22"/>
              </w:rPr>
              <w:t xml:space="preserve">; </w:t>
            </w:r>
            <w:r w:rsidR="002C269C">
              <w:rPr>
                <w:sz w:val="22"/>
              </w:rPr>
              <w:t xml:space="preserve"> Alanís (2015)</w:t>
            </w:r>
          </w:p>
        </w:tc>
      </w:tr>
      <w:tr w:rsidR="00AF4C63" w:rsidRPr="00714D76" w:rsidTr="00AF4C63">
        <w:tc>
          <w:tcPr>
            <w:tcW w:w="1129" w:type="dxa"/>
          </w:tcPr>
          <w:p w:rsidR="00AF4C63" w:rsidRPr="00714D76" w:rsidRDefault="00AF4C63" w:rsidP="00AF4C63">
            <w:pPr>
              <w:rPr>
                <w:sz w:val="22"/>
              </w:rPr>
            </w:pPr>
            <w:r w:rsidRPr="00714D76">
              <w:rPr>
                <w:sz w:val="22"/>
              </w:rPr>
              <w:t xml:space="preserve">Métodos basados en la cuenta </w:t>
            </w:r>
            <w:r w:rsidRPr="00714D76">
              <w:rPr>
                <w:sz w:val="22"/>
              </w:rPr>
              <w:lastRenderedPageBreak/>
              <w:t>de resultados</w:t>
            </w:r>
          </w:p>
        </w:tc>
        <w:tc>
          <w:tcPr>
            <w:tcW w:w="5954" w:type="dxa"/>
          </w:tcPr>
          <w:p w:rsidR="00AF4C63" w:rsidRPr="002C269C" w:rsidRDefault="00AF4C63" w:rsidP="002C269C">
            <w:pPr>
              <w:rPr>
                <w:i/>
                <w:sz w:val="22"/>
              </w:rPr>
            </w:pPr>
            <w:r w:rsidRPr="00714D76">
              <w:rPr>
                <w:sz w:val="22"/>
              </w:rPr>
              <w:lastRenderedPageBreak/>
              <w:t>Con este método se trata de determinar el valor de la compañ</w:t>
            </w:r>
            <w:r w:rsidR="00714D76" w:rsidRPr="00714D76">
              <w:rPr>
                <w:sz w:val="22"/>
              </w:rPr>
              <w:t>í</w:t>
            </w:r>
            <w:r w:rsidRPr="00714D76">
              <w:rPr>
                <w:sz w:val="22"/>
              </w:rPr>
              <w:t>a a través de la magnitud de los beneficios, de las ventas o de otro parámetro de la cuenta de resultados.</w:t>
            </w:r>
            <w:r w:rsidR="002C269C">
              <w:t xml:space="preserve"> </w:t>
            </w:r>
            <w:proofErr w:type="spellStart"/>
            <w:r w:rsidR="002C269C" w:rsidRPr="002C269C">
              <w:rPr>
                <w:i/>
                <w:sz w:val="22"/>
              </w:rPr>
              <w:t>Múltiplos</w:t>
            </w:r>
            <w:proofErr w:type="spellEnd"/>
            <w:r w:rsidR="002C269C" w:rsidRPr="002C269C">
              <w:rPr>
                <w:i/>
                <w:sz w:val="22"/>
              </w:rPr>
              <w:t xml:space="preserve"> de beneficios </w:t>
            </w:r>
            <w:proofErr w:type="spellStart"/>
            <w:r w:rsidR="002C269C" w:rsidRPr="002C269C">
              <w:rPr>
                <w:i/>
                <w:sz w:val="22"/>
              </w:rPr>
              <w:t>Relación</w:t>
            </w:r>
            <w:proofErr w:type="spellEnd"/>
            <w:r w:rsidR="002C269C" w:rsidRPr="002C269C">
              <w:rPr>
                <w:i/>
                <w:sz w:val="22"/>
              </w:rPr>
              <w:t xml:space="preserve"> Precio </w:t>
            </w:r>
            <w:r w:rsidR="002C269C" w:rsidRPr="002C269C">
              <w:rPr>
                <w:i/>
                <w:sz w:val="22"/>
              </w:rPr>
              <w:lastRenderedPageBreak/>
              <w:t xml:space="preserve">Ganancia (PER), </w:t>
            </w:r>
            <w:proofErr w:type="spellStart"/>
            <w:r w:rsidR="002C269C" w:rsidRPr="002C269C">
              <w:rPr>
                <w:i/>
                <w:sz w:val="22"/>
              </w:rPr>
              <w:t>múltiplos</w:t>
            </w:r>
            <w:proofErr w:type="spellEnd"/>
            <w:r w:rsidR="002C269C" w:rsidRPr="002C269C">
              <w:rPr>
                <w:i/>
                <w:sz w:val="22"/>
              </w:rPr>
              <w:t xml:space="preserve"> de ventas, </w:t>
            </w:r>
            <w:proofErr w:type="spellStart"/>
            <w:r w:rsidR="002C269C" w:rsidRPr="002C269C">
              <w:rPr>
                <w:i/>
                <w:sz w:val="22"/>
              </w:rPr>
              <w:t>múltiplos</w:t>
            </w:r>
            <w:proofErr w:type="spellEnd"/>
            <w:r w:rsidR="002C269C" w:rsidRPr="002C269C">
              <w:rPr>
                <w:i/>
                <w:sz w:val="22"/>
              </w:rPr>
              <w:t xml:space="preserve"> Utilidad antes de intereses, impuestos,</w:t>
            </w:r>
            <w:r w:rsidR="002C269C">
              <w:rPr>
                <w:i/>
                <w:sz w:val="22"/>
              </w:rPr>
              <w:t xml:space="preserve"> </w:t>
            </w:r>
            <w:proofErr w:type="spellStart"/>
            <w:r w:rsidR="002C269C" w:rsidRPr="002C269C">
              <w:rPr>
                <w:i/>
                <w:sz w:val="22"/>
              </w:rPr>
              <w:t>depreciación</w:t>
            </w:r>
            <w:proofErr w:type="spellEnd"/>
            <w:r w:rsidR="002C269C" w:rsidRPr="002C269C">
              <w:rPr>
                <w:i/>
                <w:sz w:val="22"/>
              </w:rPr>
              <w:t xml:space="preserve"> y </w:t>
            </w:r>
            <w:proofErr w:type="spellStart"/>
            <w:r w:rsidR="002C269C" w:rsidRPr="002C269C">
              <w:rPr>
                <w:i/>
                <w:sz w:val="22"/>
              </w:rPr>
              <w:t>amortización</w:t>
            </w:r>
            <w:proofErr w:type="spellEnd"/>
            <w:r w:rsidR="002C269C" w:rsidRPr="002C269C">
              <w:rPr>
                <w:i/>
                <w:sz w:val="22"/>
              </w:rPr>
              <w:t xml:space="preserve"> (EBITDA), otros </w:t>
            </w:r>
            <w:proofErr w:type="spellStart"/>
            <w:r w:rsidR="002C269C" w:rsidRPr="002C269C">
              <w:rPr>
                <w:i/>
                <w:sz w:val="22"/>
              </w:rPr>
              <w:t>múltiplos</w:t>
            </w:r>
            <w:proofErr w:type="spellEnd"/>
            <w:r w:rsidR="002C269C">
              <w:rPr>
                <w:i/>
                <w:sz w:val="22"/>
              </w:rPr>
              <w:t>.</w:t>
            </w:r>
          </w:p>
        </w:tc>
        <w:tc>
          <w:tcPr>
            <w:tcW w:w="1745" w:type="dxa"/>
          </w:tcPr>
          <w:p w:rsidR="00AF4C63" w:rsidRPr="00714D76" w:rsidRDefault="00AF4C63" w:rsidP="00AF4C63">
            <w:pPr>
              <w:rPr>
                <w:sz w:val="22"/>
              </w:rPr>
            </w:pPr>
            <w:r w:rsidRPr="00714D76">
              <w:rPr>
                <w:sz w:val="22"/>
              </w:rPr>
              <w:lastRenderedPageBreak/>
              <w:t>Fernández (2008)</w:t>
            </w:r>
            <w:r w:rsidR="002C269C">
              <w:rPr>
                <w:sz w:val="22"/>
              </w:rPr>
              <w:t>; Alanís (2015)</w:t>
            </w:r>
          </w:p>
        </w:tc>
      </w:tr>
      <w:tr w:rsidR="00AF4C63" w:rsidRPr="00714D76" w:rsidTr="00AF4C63">
        <w:tc>
          <w:tcPr>
            <w:tcW w:w="1129" w:type="dxa"/>
          </w:tcPr>
          <w:p w:rsidR="00AF4C63" w:rsidRPr="00714D76" w:rsidRDefault="00AF4C63" w:rsidP="00AF4C63">
            <w:pPr>
              <w:rPr>
                <w:sz w:val="22"/>
              </w:rPr>
            </w:pPr>
            <w:r w:rsidRPr="00714D76">
              <w:rPr>
                <w:sz w:val="22"/>
              </w:rPr>
              <w:t xml:space="preserve">Métodos mixtos: </w:t>
            </w:r>
            <w:proofErr w:type="spellStart"/>
            <w:r w:rsidRPr="00714D76">
              <w:rPr>
                <w:sz w:val="22"/>
              </w:rPr>
              <w:t>Goodwill</w:t>
            </w:r>
            <w:proofErr w:type="spellEnd"/>
            <w:r w:rsidRPr="00714D76">
              <w:rPr>
                <w:sz w:val="22"/>
              </w:rPr>
              <w:t xml:space="preserve"> o Fondo de Comercio</w:t>
            </w:r>
          </w:p>
        </w:tc>
        <w:tc>
          <w:tcPr>
            <w:tcW w:w="5954" w:type="dxa"/>
          </w:tcPr>
          <w:p w:rsidR="00AF4C63" w:rsidRPr="00714D76" w:rsidRDefault="00AF4C63" w:rsidP="00AF4C63">
            <w:pPr>
              <w:rPr>
                <w:sz w:val="22"/>
              </w:rPr>
            </w:pPr>
            <w:r w:rsidRPr="00714D76">
              <w:rPr>
                <w:sz w:val="22"/>
              </w:rPr>
              <w:t xml:space="preserve">Es el valor que tiene la empresa por encima de su valor contable o por encima del valor contable ajustado, ya que este método pretende representar el valor de los elementos inmateriales de la empresa que no aparecen reflejados en el estado de situación financiera pero que sin embargo, aporta una ventaja respecto a otras empresas del sector. </w:t>
            </w:r>
            <w:r w:rsidR="00B76B4F" w:rsidRPr="00B76B4F">
              <w:rPr>
                <w:i/>
                <w:sz w:val="22"/>
              </w:rPr>
              <w:t>M</w:t>
            </w:r>
            <w:r w:rsidRPr="00B76B4F">
              <w:rPr>
                <w:i/>
                <w:sz w:val="22"/>
              </w:rPr>
              <w:t xml:space="preserve">étodo de valoración clásico, método del porcentaje de ventas, método simplificado de la renta abreviada del </w:t>
            </w:r>
            <w:proofErr w:type="spellStart"/>
            <w:r w:rsidRPr="00B76B4F">
              <w:rPr>
                <w:i/>
                <w:sz w:val="22"/>
              </w:rPr>
              <w:t>goodwill</w:t>
            </w:r>
            <w:proofErr w:type="spellEnd"/>
            <w:r w:rsidRPr="00B76B4F">
              <w:rPr>
                <w:i/>
                <w:sz w:val="22"/>
              </w:rPr>
              <w:t>, método de la unión de expertos contables europeos, método indirecto.</w:t>
            </w:r>
            <w:r w:rsidRPr="00714D76">
              <w:rPr>
                <w:sz w:val="22"/>
              </w:rPr>
              <w:t xml:space="preserve"> </w:t>
            </w:r>
          </w:p>
        </w:tc>
        <w:tc>
          <w:tcPr>
            <w:tcW w:w="1745" w:type="dxa"/>
          </w:tcPr>
          <w:p w:rsidR="00AF4C63" w:rsidRPr="00714D76" w:rsidRDefault="00AF4C63" w:rsidP="00AF4C63">
            <w:pPr>
              <w:rPr>
                <w:sz w:val="22"/>
              </w:rPr>
            </w:pPr>
            <w:r w:rsidRPr="00714D76">
              <w:rPr>
                <w:sz w:val="22"/>
              </w:rPr>
              <w:t>Fernández (2008)</w:t>
            </w:r>
            <w:r w:rsidR="00714D76">
              <w:rPr>
                <w:sz w:val="22"/>
              </w:rPr>
              <w:t xml:space="preserve">; Adam </w:t>
            </w:r>
            <w:proofErr w:type="spellStart"/>
            <w:r w:rsidR="00714D76">
              <w:rPr>
                <w:sz w:val="22"/>
              </w:rPr>
              <w:t>Siade</w:t>
            </w:r>
            <w:proofErr w:type="spellEnd"/>
            <w:r w:rsidR="00714D76">
              <w:rPr>
                <w:sz w:val="22"/>
              </w:rPr>
              <w:t xml:space="preserve"> (2005)</w:t>
            </w:r>
            <w:r w:rsidR="003C2E4D">
              <w:rPr>
                <w:sz w:val="22"/>
              </w:rPr>
              <w:t xml:space="preserve">; Alanís (2015) </w:t>
            </w:r>
            <w:r w:rsidR="00B76B4F">
              <w:rPr>
                <w:sz w:val="22"/>
              </w:rPr>
              <w:t xml:space="preserve"> </w:t>
            </w:r>
          </w:p>
        </w:tc>
      </w:tr>
      <w:tr w:rsidR="00AF4C63" w:rsidRPr="00714D76" w:rsidTr="00AF4C63">
        <w:tc>
          <w:tcPr>
            <w:tcW w:w="1129" w:type="dxa"/>
          </w:tcPr>
          <w:p w:rsidR="00AF4C63" w:rsidRPr="00714D76" w:rsidRDefault="00AF4C63" w:rsidP="00AF4C63">
            <w:pPr>
              <w:rPr>
                <w:sz w:val="22"/>
              </w:rPr>
            </w:pPr>
            <w:r w:rsidRPr="00714D76">
              <w:rPr>
                <w:sz w:val="22"/>
              </w:rPr>
              <w:t>Métodos basados en el descuento de flujos</w:t>
            </w:r>
          </w:p>
        </w:tc>
        <w:tc>
          <w:tcPr>
            <w:tcW w:w="5954" w:type="dxa"/>
          </w:tcPr>
          <w:p w:rsidR="00AF4C63" w:rsidRPr="002C269C" w:rsidRDefault="00AF4C63" w:rsidP="002C269C">
            <w:pPr>
              <w:rPr>
                <w:i/>
                <w:sz w:val="22"/>
              </w:rPr>
            </w:pPr>
            <w:r w:rsidRPr="00714D76">
              <w:rPr>
                <w:sz w:val="22"/>
              </w:rPr>
              <w:t>Este método es uno de los métodos más usados para determinar el valor de una organización. De acuerdo al punto de vista teórico el valor de la empresa se obtiene a partir de dos conceptos: Las expectativas de generación de fondos que se tengan en la empresa</w:t>
            </w:r>
            <w:r w:rsidR="002C269C">
              <w:rPr>
                <w:sz w:val="22"/>
              </w:rPr>
              <w:t xml:space="preserve"> y e</w:t>
            </w:r>
            <w:r w:rsidRPr="00714D76">
              <w:rPr>
                <w:sz w:val="22"/>
              </w:rPr>
              <w:t>l riesgo asociado a las expectativas, que se traduce en determinada tasa exigida</w:t>
            </w:r>
            <w:r w:rsidR="002C269C">
              <w:rPr>
                <w:sz w:val="22"/>
              </w:rPr>
              <w:t xml:space="preserve">. </w:t>
            </w:r>
            <w:r w:rsidR="002C269C" w:rsidRPr="002C269C">
              <w:rPr>
                <w:i/>
                <w:sz w:val="22"/>
              </w:rPr>
              <w:t xml:space="preserve">Free cash </w:t>
            </w:r>
            <w:proofErr w:type="spellStart"/>
            <w:r w:rsidR="002C269C" w:rsidRPr="002C269C">
              <w:rPr>
                <w:i/>
                <w:sz w:val="22"/>
              </w:rPr>
              <w:t>flow</w:t>
            </w:r>
            <w:proofErr w:type="spellEnd"/>
            <w:r w:rsidR="002C269C" w:rsidRPr="002C269C">
              <w:rPr>
                <w:i/>
                <w:sz w:val="22"/>
              </w:rPr>
              <w:t xml:space="preserve">, cash </w:t>
            </w:r>
            <w:proofErr w:type="spellStart"/>
            <w:r w:rsidR="002C269C" w:rsidRPr="002C269C">
              <w:rPr>
                <w:i/>
                <w:sz w:val="22"/>
              </w:rPr>
              <w:t>flow</w:t>
            </w:r>
            <w:proofErr w:type="spellEnd"/>
            <w:r w:rsidR="002C269C" w:rsidRPr="002C269C">
              <w:rPr>
                <w:i/>
                <w:sz w:val="22"/>
              </w:rPr>
              <w:t xml:space="preserve"> acciones,</w:t>
            </w:r>
            <w:r w:rsidR="002C269C">
              <w:rPr>
                <w:i/>
                <w:sz w:val="22"/>
              </w:rPr>
              <w:t xml:space="preserve"> dividendos, capital cash </w:t>
            </w:r>
            <w:proofErr w:type="spellStart"/>
            <w:r w:rsidR="002C269C">
              <w:rPr>
                <w:i/>
                <w:sz w:val="22"/>
              </w:rPr>
              <w:t>flow</w:t>
            </w:r>
            <w:proofErr w:type="spellEnd"/>
            <w:r w:rsidR="002C269C">
              <w:rPr>
                <w:i/>
                <w:sz w:val="22"/>
              </w:rPr>
              <w:t>, Valor Presente Ajustado (APV</w:t>
            </w:r>
            <w:r w:rsidR="002C269C" w:rsidRPr="002C269C">
              <w:rPr>
                <w:i/>
                <w:sz w:val="22"/>
              </w:rPr>
              <w:t>).</w:t>
            </w:r>
          </w:p>
        </w:tc>
        <w:tc>
          <w:tcPr>
            <w:tcW w:w="1745" w:type="dxa"/>
          </w:tcPr>
          <w:p w:rsidR="002C269C" w:rsidRPr="00714D76" w:rsidRDefault="00AF4C63" w:rsidP="00AF4C63">
            <w:pPr>
              <w:rPr>
                <w:sz w:val="22"/>
              </w:rPr>
            </w:pPr>
            <w:r w:rsidRPr="00714D76">
              <w:rPr>
                <w:sz w:val="22"/>
              </w:rPr>
              <w:t xml:space="preserve">Fernández (2002), Lou y Fisher (2002), Martin y Trujillo (2000), </w:t>
            </w:r>
            <w:proofErr w:type="spellStart"/>
            <w:r w:rsidRPr="00714D76">
              <w:rPr>
                <w:sz w:val="22"/>
              </w:rPr>
              <w:t>Viñola</w:t>
            </w:r>
            <w:proofErr w:type="spellEnd"/>
            <w:r w:rsidRPr="00714D76">
              <w:rPr>
                <w:sz w:val="22"/>
              </w:rPr>
              <w:t xml:space="preserve"> y </w:t>
            </w:r>
            <w:proofErr w:type="spellStart"/>
            <w:r w:rsidRPr="00714D76">
              <w:rPr>
                <w:sz w:val="22"/>
              </w:rPr>
              <w:t>Asera</w:t>
            </w:r>
            <w:proofErr w:type="spellEnd"/>
            <w:r w:rsidRPr="00714D76">
              <w:rPr>
                <w:sz w:val="22"/>
              </w:rPr>
              <w:t xml:space="preserve"> (1997)</w:t>
            </w:r>
            <w:r w:rsidR="002C269C">
              <w:rPr>
                <w:sz w:val="22"/>
              </w:rPr>
              <w:t xml:space="preserve">; Alanís (2015) </w:t>
            </w:r>
          </w:p>
        </w:tc>
      </w:tr>
      <w:tr w:rsidR="002C269C" w:rsidRPr="00714D76" w:rsidTr="00AF4C63">
        <w:tc>
          <w:tcPr>
            <w:tcW w:w="1129" w:type="dxa"/>
          </w:tcPr>
          <w:p w:rsidR="002C269C" w:rsidRPr="00714D76" w:rsidRDefault="002C269C" w:rsidP="00AF4C63">
            <w:pPr>
              <w:rPr>
                <w:sz w:val="22"/>
              </w:rPr>
            </w:pPr>
            <w:r>
              <w:rPr>
                <w:sz w:val="22"/>
              </w:rPr>
              <w:t>Creación de valor</w:t>
            </w:r>
          </w:p>
        </w:tc>
        <w:tc>
          <w:tcPr>
            <w:tcW w:w="5954" w:type="dxa"/>
          </w:tcPr>
          <w:p w:rsidR="002C269C" w:rsidRPr="002C269C" w:rsidRDefault="002C269C" w:rsidP="002C269C">
            <w:pPr>
              <w:rPr>
                <w:i/>
                <w:sz w:val="22"/>
              </w:rPr>
            </w:pPr>
            <w:proofErr w:type="spellStart"/>
            <w:r w:rsidRPr="002C269C">
              <w:rPr>
                <w:i/>
                <w:sz w:val="22"/>
              </w:rPr>
              <w:t>Economic</w:t>
            </w:r>
            <w:proofErr w:type="spellEnd"/>
            <w:r w:rsidRPr="002C269C">
              <w:rPr>
                <w:i/>
                <w:sz w:val="22"/>
              </w:rPr>
              <w:t xml:space="preserve"> </w:t>
            </w:r>
            <w:proofErr w:type="spellStart"/>
            <w:r w:rsidRPr="002C269C">
              <w:rPr>
                <w:i/>
                <w:sz w:val="22"/>
              </w:rPr>
              <w:t>Value</w:t>
            </w:r>
            <w:proofErr w:type="spellEnd"/>
            <w:r w:rsidRPr="002C269C">
              <w:rPr>
                <w:i/>
                <w:sz w:val="22"/>
              </w:rPr>
              <w:t xml:space="preserve"> </w:t>
            </w:r>
            <w:proofErr w:type="spellStart"/>
            <w:r w:rsidRPr="002C269C">
              <w:rPr>
                <w:i/>
                <w:sz w:val="22"/>
              </w:rPr>
              <w:t>Added</w:t>
            </w:r>
            <w:proofErr w:type="spellEnd"/>
            <w:r w:rsidRPr="002C269C">
              <w:rPr>
                <w:i/>
                <w:sz w:val="22"/>
              </w:rPr>
              <w:t xml:space="preserve"> (EVA), Beneficio </w:t>
            </w:r>
            <w:proofErr w:type="spellStart"/>
            <w:r w:rsidRPr="002C269C">
              <w:rPr>
                <w:i/>
                <w:sz w:val="22"/>
              </w:rPr>
              <w:t>económico</w:t>
            </w:r>
            <w:proofErr w:type="spellEnd"/>
            <w:r w:rsidRPr="002C269C">
              <w:rPr>
                <w:i/>
                <w:sz w:val="22"/>
              </w:rPr>
              <w:t xml:space="preserve">, cash </w:t>
            </w:r>
            <w:proofErr w:type="spellStart"/>
            <w:r w:rsidRPr="002C269C">
              <w:rPr>
                <w:i/>
                <w:sz w:val="22"/>
              </w:rPr>
              <w:t>flow</w:t>
            </w:r>
            <w:proofErr w:type="spellEnd"/>
            <w:r w:rsidRPr="002C269C">
              <w:rPr>
                <w:i/>
                <w:sz w:val="22"/>
              </w:rPr>
              <w:t xml:space="preserve"> </w:t>
            </w:r>
            <w:proofErr w:type="spellStart"/>
            <w:r w:rsidRPr="002C269C">
              <w:rPr>
                <w:i/>
                <w:sz w:val="22"/>
              </w:rPr>
              <w:t>added</w:t>
            </w:r>
            <w:proofErr w:type="spellEnd"/>
            <w:r w:rsidRPr="002C269C">
              <w:rPr>
                <w:i/>
                <w:sz w:val="22"/>
              </w:rPr>
              <w:t xml:space="preserve">, Cash </w:t>
            </w:r>
            <w:proofErr w:type="spellStart"/>
            <w:r w:rsidRPr="002C269C">
              <w:rPr>
                <w:i/>
                <w:sz w:val="22"/>
              </w:rPr>
              <w:t>Flow</w:t>
            </w:r>
            <w:proofErr w:type="spellEnd"/>
            <w:r w:rsidRPr="002C269C">
              <w:rPr>
                <w:i/>
                <w:sz w:val="22"/>
              </w:rPr>
              <w:t xml:space="preserve"> </w:t>
            </w:r>
            <w:proofErr w:type="spellStart"/>
            <w:r w:rsidRPr="002C269C">
              <w:rPr>
                <w:i/>
                <w:sz w:val="22"/>
              </w:rPr>
              <w:t>Return</w:t>
            </w:r>
            <w:proofErr w:type="spellEnd"/>
            <w:r w:rsidRPr="002C269C">
              <w:rPr>
                <w:i/>
                <w:sz w:val="22"/>
              </w:rPr>
              <w:t xml:space="preserve"> in </w:t>
            </w:r>
            <w:proofErr w:type="spellStart"/>
            <w:r w:rsidRPr="002C269C">
              <w:rPr>
                <w:i/>
                <w:sz w:val="22"/>
              </w:rPr>
              <w:t>Investment</w:t>
            </w:r>
            <w:proofErr w:type="spellEnd"/>
            <w:r w:rsidRPr="002C269C">
              <w:rPr>
                <w:i/>
                <w:sz w:val="22"/>
              </w:rPr>
              <w:t xml:space="preserve"> (CFROI)</w:t>
            </w:r>
          </w:p>
        </w:tc>
        <w:tc>
          <w:tcPr>
            <w:tcW w:w="1745" w:type="dxa"/>
          </w:tcPr>
          <w:p w:rsidR="002C269C" w:rsidRPr="00714D76" w:rsidRDefault="002C269C" w:rsidP="00AF4C63">
            <w:pPr>
              <w:rPr>
                <w:sz w:val="22"/>
              </w:rPr>
            </w:pPr>
            <w:r>
              <w:rPr>
                <w:sz w:val="22"/>
              </w:rPr>
              <w:t>Fernández (2008); Alanís (2015)</w:t>
            </w:r>
          </w:p>
        </w:tc>
      </w:tr>
    </w:tbl>
    <w:p w:rsidR="00AF4C63" w:rsidRDefault="00AF4C63" w:rsidP="00B16D14">
      <w:r>
        <w:t xml:space="preserve">Fuente: Adaptado de Fernández (2002; 2008), Lou y Fisher (2002), Martín y Trujillo (2000), </w:t>
      </w:r>
      <w:proofErr w:type="spellStart"/>
      <w:r>
        <w:t>Viñola</w:t>
      </w:r>
      <w:proofErr w:type="spellEnd"/>
      <w:r>
        <w:t xml:space="preserve"> y </w:t>
      </w:r>
      <w:proofErr w:type="spellStart"/>
      <w:r>
        <w:t>Asera</w:t>
      </w:r>
      <w:proofErr w:type="spellEnd"/>
      <w:r>
        <w:t xml:space="preserve"> (1997)</w:t>
      </w:r>
    </w:p>
    <w:p w:rsidR="001C0D20" w:rsidRDefault="001C0D20" w:rsidP="00B16D14"/>
    <w:p w:rsidR="002C269C" w:rsidRDefault="002C269C" w:rsidP="00B16D14">
      <w:r>
        <w:t xml:space="preserve">Asimismo, de acuerdo a Alanís (2015) en una revisión a los modelos de valuación actuales, </w:t>
      </w:r>
      <w:proofErr w:type="spellStart"/>
      <w:r>
        <w:t>Damodaran</w:t>
      </w:r>
      <w:proofErr w:type="spellEnd"/>
      <w:r>
        <w:t xml:space="preserve"> (2006) divide la valoración en flujo de caja descontado, valuación relativa y contingente (aquella que utiliza modelos de precios de opciones). Señala además, que Fabregat (2009) considera los modelos estáticos basados en cuentas de balance; dinámicos, en flujos descontados; compuestos, modelos estáticos y dinámicos; y por múltiplos. Asimismo, como conclusión de su estudio, señala que el</w:t>
      </w:r>
      <w:r w:rsidRPr="002C269C">
        <w:t xml:space="preserve"> </w:t>
      </w:r>
      <w:r>
        <w:t>analista</w:t>
      </w:r>
      <w:r w:rsidRPr="002C269C">
        <w:t xml:space="preserve"> debe determinar en cada caso el </w:t>
      </w:r>
      <w:proofErr w:type="spellStart"/>
      <w:r w:rsidRPr="002C269C">
        <w:t>más</w:t>
      </w:r>
      <w:proofErr w:type="spellEnd"/>
      <w:r w:rsidRPr="002C269C">
        <w:t xml:space="preserve"> adecuado, </w:t>
      </w:r>
      <w:r>
        <w:t>y ser consciente</w:t>
      </w:r>
      <w:r w:rsidRPr="002C269C">
        <w:t xml:space="preserve"> de que la cifra que arroj</w:t>
      </w:r>
      <w:r>
        <w:t xml:space="preserve">e un determinado modelo </w:t>
      </w:r>
      <w:proofErr w:type="spellStart"/>
      <w:r>
        <w:t>estara</w:t>
      </w:r>
      <w:proofErr w:type="spellEnd"/>
      <w:r>
        <w:t>́ sujeta</w:t>
      </w:r>
      <w:r w:rsidRPr="002C269C">
        <w:t xml:space="preserve"> a la calidad de los datos que se introduzcan al </w:t>
      </w:r>
      <w:r>
        <w:t xml:space="preserve">mismo. </w:t>
      </w:r>
    </w:p>
    <w:p w:rsidR="002C269C" w:rsidRDefault="002C269C" w:rsidP="00B16D14"/>
    <w:p w:rsidR="00177DE7" w:rsidRDefault="00AF4C63" w:rsidP="00AF4C63">
      <w:pPr>
        <w:pStyle w:val="Ttulo3"/>
      </w:pPr>
      <w:r>
        <w:t xml:space="preserve">La Q de </w:t>
      </w:r>
      <w:proofErr w:type="spellStart"/>
      <w:r>
        <w:t>Tobin</w:t>
      </w:r>
      <w:proofErr w:type="spellEnd"/>
      <w:r>
        <w:t xml:space="preserve"> y las variables del modelo</w:t>
      </w:r>
    </w:p>
    <w:p w:rsidR="00956579" w:rsidRDefault="00AF4C63" w:rsidP="00F118A8">
      <w:r>
        <w:t xml:space="preserve">Según </w:t>
      </w:r>
      <w:proofErr w:type="spellStart"/>
      <w:r>
        <w:t>Tobin</w:t>
      </w:r>
      <w:proofErr w:type="spellEnd"/>
      <w:r>
        <w:t xml:space="preserve"> (1978) el valor atribuido por el mercado refleja, entre otras cosas, poder de monopolio, valoración de los intangibles </w:t>
      </w:r>
      <w:r w:rsidR="0025609E">
        <w:t xml:space="preserve">y oportunidades de crecimiento. De acuerdo a </w:t>
      </w:r>
      <w:proofErr w:type="spellStart"/>
      <w:r>
        <w:t>Brealey</w:t>
      </w:r>
      <w:proofErr w:type="spellEnd"/>
      <w:r>
        <w:t xml:space="preserve"> y Myers (1998), la razón Q es el cociente del valor de mercado de un activo sobre su costo de reposición.</w:t>
      </w:r>
      <w:r w:rsidR="00F118A8">
        <w:t xml:space="preserve"> </w:t>
      </w:r>
      <w:r w:rsidR="008F5F81">
        <w:t>Si la</w:t>
      </w:r>
      <w:r w:rsidR="008F5F81" w:rsidRPr="008F5F81">
        <w:t xml:space="preserve"> Q de </w:t>
      </w:r>
      <w:proofErr w:type="spellStart"/>
      <w:r w:rsidR="008F5F81" w:rsidRPr="008F5F81">
        <w:t>Tobin</w:t>
      </w:r>
      <w:proofErr w:type="spellEnd"/>
      <w:r w:rsidR="008F5F81" w:rsidRPr="008F5F81">
        <w:t xml:space="preserve"> es mayor que uno, el valor de mercado de la inversión de los accionistas y acreedores es mayor que el costo histórico amortizado de los activos. </w:t>
      </w:r>
    </w:p>
    <w:p w:rsidR="00956579" w:rsidRDefault="00956579" w:rsidP="00F118A8"/>
    <w:p w:rsidR="00F118A8" w:rsidRDefault="008F5F81" w:rsidP="00F118A8">
      <w:r w:rsidRPr="008F5F81">
        <w:t xml:space="preserve">Debido a que la Q de </w:t>
      </w:r>
      <w:proofErr w:type="spellStart"/>
      <w:r w:rsidRPr="008F5F81">
        <w:t>Tobin</w:t>
      </w:r>
      <w:proofErr w:type="spellEnd"/>
      <w:r w:rsidRPr="008F5F81">
        <w:t xml:space="preserve"> mide el valor de mercado de la inversión de accionista y acreedor, abarca una evaluación de mercado del conjunto de oportunidades de </w:t>
      </w:r>
      <w:r w:rsidRPr="008F5F81">
        <w:lastRenderedPageBreak/>
        <w:t>inversión y los flujos de</w:t>
      </w:r>
      <w:r>
        <w:t xml:space="preserve"> efectivo futuros de la empresa (Hutchinson, </w:t>
      </w:r>
      <w:proofErr w:type="spellStart"/>
      <w:r w:rsidRPr="008F5F81">
        <w:t>Seamer</w:t>
      </w:r>
      <w:proofErr w:type="spellEnd"/>
      <w:r w:rsidRPr="008F5F81">
        <w:t xml:space="preserve"> y </w:t>
      </w:r>
      <w:proofErr w:type="spellStart"/>
      <w:r w:rsidRPr="008F5F81">
        <w:t>Chapple</w:t>
      </w:r>
      <w:proofErr w:type="spellEnd"/>
      <w:r w:rsidRPr="008F5F81">
        <w:t>, 2015</w:t>
      </w:r>
      <w:r>
        <w:t xml:space="preserve">). </w:t>
      </w:r>
    </w:p>
    <w:p w:rsidR="00F118A8" w:rsidRDefault="00F118A8" w:rsidP="00F118A8"/>
    <w:p w:rsidR="00F118A8" w:rsidRPr="00530B2B" w:rsidRDefault="00F118A8" w:rsidP="00F118A8">
      <w:pPr>
        <w:tabs>
          <w:tab w:val="left" w:pos="5184"/>
        </w:tabs>
        <w:rPr>
          <w:rFonts w:eastAsiaTheme="minorEastAsia"/>
        </w:rPr>
      </w:pPr>
      <m:oMathPara>
        <m:oMathParaPr>
          <m:jc m:val="center"/>
        </m:oMathParaPr>
        <m:oMath>
          <m:r>
            <w:rPr>
              <w:rFonts w:ascii="Cambria Math" w:hAnsi="Cambria Math"/>
            </w:rPr>
            <m:t>Q=</m:t>
          </m:r>
          <m:f>
            <m:fPr>
              <m:ctrlPr>
                <w:rPr>
                  <w:rFonts w:ascii="Cambria Math" w:hAnsi="Cambria Math"/>
                  <w:i/>
                </w:rPr>
              </m:ctrlPr>
            </m:fPr>
            <m:num>
              <m:r>
                <w:rPr>
                  <w:rFonts w:ascii="Cambria Math" w:hAnsi="Cambria Math"/>
                </w:rPr>
                <m:t>(VALOR DE MERCADO DE LOS ACTIVOS)</m:t>
              </m:r>
            </m:num>
            <m:den>
              <m:r>
                <w:rPr>
                  <w:rFonts w:ascii="Cambria Math" w:hAnsi="Cambria Math"/>
                </w:rPr>
                <m:t>(COSTO DE REPOSICIÓN ESTIMADO)</m:t>
              </m:r>
            </m:den>
          </m:f>
        </m:oMath>
      </m:oMathPara>
    </w:p>
    <w:p w:rsidR="00F118A8" w:rsidRPr="00530B2B" w:rsidRDefault="00F118A8" w:rsidP="00F118A8">
      <w:pPr>
        <w:tabs>
          <w:tab w:val="left" w:pos="5184"/>
        </w:tabs>
        <w:rPr>
          <w:rFonts w:eastAsiaTheme="minorEastAsia"/>
        </w:rPr>
      </w:pPr>
    </w:p>
    <w:p w:rsidR="00F118A8" w:rsidRPr="0025609E" w:rsidRDefault="00F118A8" w:rsidP="0025609E">
      <w:pPr>
        <w:tabs>
          <w:tab w:val="left" w:pos="5184"/>
        </w:tabs>
        <w:rPr>
          <w:rFonts w:eastAsiaTheme="minorEastAsia"/>
        </w:rPr>
      </w:pPr>
      <w:r w:rsidRPr="007F577C">
        <w:rPr>
          <w:rFonts w:eastAsiaTheme="minorEastAsia"/>
        </w:rPr>
        <w:t xml:space="preserve">Según </w:t>
      </w:r>
      <w:proofErr w:type="spellStart"/>
      <w:r w:rsidRPr="007F577C">
        <w:rPr>
          <w:rFonts w:eastAsiaTheme="minorEastAsia"/>
        </w:rPr>
        <w:t>Famá</w:t>
      </w:r>
      <w:proofErr w:type="spellEnd"/>
      <w:r w:rsidRPr="007F577C">
        <w:rPr>
          <w:rFonts w:eastAsiaTheme="minorEastAsia"/>
        </w:rPr>
        <w:t xml:space="preserve"> y </w:t>
      </w:r>
      <w:proofErr w:type="spellStart"/>
      <w:r w:rsidRPr="007F577C">
        <w:rPr>
          <w:rFonts w:eastAsiaTheme="minorEastAsia"/>
        </w:rPr>
        <w:t>Ayres</w:t>
      </w:r>
      <w:proofErr w:type="spellEnd"/>
      <w:r w:rsidRPr="007F577C">
        <w:rPr>
          <w:rFonts w:eastAsiaTheme="minorEastAsia"/>
        </w:rPr>
        <w:t xml:space="preserve"> (2000), la Q </w:t>
      </w:r>
      <w:r w:rsidR="00547F50">
        <w:rPr>
          <w:rFonts w:eastAsiaTheme="minorEastAsia"/>
        </w:rPr>
        <w:t>es</w:t>
      </w:r>
      <w:r w:rsidRPr="007F577C">
        <w:rPr>
          <w:rFonts w:eastAsiaTheme="minorEastAsia"/>
        </w:rPr>
        <w:t xml:space="preserve"> el valor de mercado de las acciones o capital propio de la empresa (VMA) más el valor de mercado de la deuda (VMD) en razón al desembolso por la compra de la capacidad productiva de la empresa (VRA). También señalan que este indicador muestra el respaldo que posee la empresa por medio de sus activos que generan valor para afrontar sus obligaciones del pasivo y cumplir con la rentabilidad exigida por sus accionistas.</w:t>
      </w:r>
      <w:r w:rsidR="0025609E">
        <w:rPr>
          <w:rFonts w:eastAsiaTheme="minorEastAsia"/>
        </w:rPr>
        <w:t xml:space="preserve"> </w:t>
      </w:r>
      <w:r>
        <w:t xml:space="preserve">Posteriormente, Delgado, Espitia y Ramírez (2004) analizaron los factores por los que las inversiones directas españolas se ven erosionadas de países industriales hacia países en desarrollo y proponen calcular la Q </w:t>
      </w:r>
      <w:proofErr w:type="spellStart"/>
      <w:r>
        <w:t>tobin</w:t>
      </w:r>
      <w:proofErr w:type="spellEnd"/>
      <w:r>
        <w:t xml:space="preserve"> de la siguiente manera: </w:t>
      </w:r>
    </w:p>
    <w:p w:rsidR="00F118A8" w:rsidRDefault="00F118A8" w:rsidP="00F118A8"/>
    <w:p w:rsidR="00F118A8" w:rsidRPr="007F577C" w:rsidRDefault="00F118A8" w:rsidP="00F118A8">
      <w:pPr>
        <w:tabs>
          <w:tab w:val="left" w:pos="5184"/>
        </w:tabs>
        <w:rPr>
          <w:rFonts w:eastAsiaTheme="minorEastAsia"/>
        </w:rPr>
      </w:pPr>
      <m:oMathPara>
        <m:oMath>
          <m:r>
            <w:rPr>
              <w:rFonts w:ascii="Cambria Math" w:hAnsi="Cambria Math"/>
            </w:rPr>
            <m:t>Q=</m:t>
          </m:r>
          <m:f>
            <m:fPr>
              <m:ctrlPr>
                <w:rPr>
                  <w:rFonts w:ascii="Cambria Math" w:hAnsi="Cambria Math"/>
                  <w:i/>
                </w:rPr>
              </m:ctrlPr>
            </m:fPr>
            <m:num>
              <m:r>
                <w:rPr>
                  <w:rFonts w:ascii="Cambria Math" w:hAnsi="Cambria Math"/>
                </w:rPr>
                <m:t>VALOR DE MERCADO</m:t>
              </m:r>
            </m:num>
            <m:den>
              <m:r>
                <w:rPr>
                  <w:rFonts w:ascii="Cambria Math" w:hAnsi="Cambria Math"/>
                </w:rPr>
                <m:t>AFNRC+EPR+AMN</m:t>
              </m:r>
            </m:den>
          </m:f>
        </m:oMath>
      </m:oMathPara>
    </w:p>
    <w:p w:rsidR="00F118A8" w:rsidRDefault="00F118A8" w:rsidP="00F118A8"/>
    <w:p w:rsidR="00231764" w:rsidRDefault="00231764" w:rsidP="00F118A8">
      <w:r>
        <w:tab/>
      </w:r>
      <w:r>
        <w:tab/>
        <w:t>Donde:</w:t>
      </w:r>
    </w:p>
    <w:p w:rsidR="00F118A8" w:rsidRDefault="00F118A8" w:rsidP="003C287E">
      <w:pPr>
        <w:ind w:left="2124"/>
      </w:pPr>
      <w:r>
        <w:t xml:space="preserve">AFNRC: </w:t>
      </w:r>
      <w:r w:rsidR="0027025C">
        <w:tab/>
        <w:t>Costo Reposición del Activo F</w:t>
      </w:r>
      <w:r>
        <w:t>ijo</w:t>
      </w:r>
    </w:p>
    <w:p w:rsidR="00F118A8" w:rsidRDefault="00F118A8" w:rsidP="003C287E">
      <w:pPr>
        <w:ind w:left="2124"/>
      </w:pPr>
      <w:r>
        <w:t xml:space="preserve">EPR: </w:t>
      </w:r>
      <w:r w:rsidR="0027025C">
        <w:tab/>
      </w:r>
      <w:r w:rsidR="0027025C">
        <w:tab/>
        <w:t>Costo de Reposición de las E</w:t>
      </w:r>
      <w:r>
        <w:t>xistencias</w:t>
      </w:r>
    </w:p>
    <w:p w:rsidR="00F118A8" w:rsidRDefault="00F118A8" w:rsidP="003C287E">
      <w:pPr>
        <w:ind w:left="2124"/>
      </w:pPr>
      <w:r>
        <w:t xml:space="preserve">AMN: </w:t>
      </w:r>
      <w:r w:rsidR="0027025C">
        <w:tab/>
      </w:r>
      <w:r w:rsidR="0027025C">
        <w:tab/>
        <w:t>Activos Monetarios N</w:t>
      </w:r>
      <w:r>
        <w:t>etos</w:t>
      </w:r>
    </w:p>
    <w:p w:rsidR="0027025C" w:rsidRDefault="0027025C" w:rsidP="00F118A8"/>
    <w:p w:rsidR="00956579" w:rsidRDefault="0027025C" w:rsidP="0027025C">
      <w:r>
        <w:t xml:space="preserve">En este trabajo la variable dependiente por analizar es el valor económico de las empresas más representativas del sector bancario que están listadas en la BVL en el periodo del 2011 al 2016, </w:t>
      </w:r>
      <w:r w:rsidR="008F5F81">
        <w:t xml:space="preserve">medida a través de la Q de </w:t>
      </w:r>
      <w:proofErr w:type="spellStart"/>
      <w:r w:rsidR="008F5F81">
        <w:t>Tobin</w:t>
      </w:r>
      <w:proofErr w:type="spellEnd"/>
      <w:r w:rsidR="008F5F81">
        <w:t xml:space="preserve">; al respecto, </w:t>
      </w:r>
      <w:r w:rsidR="00547F50">
        <w:t>se afirma que la Q</w:t>
      </w:r>
      <w:r w:rsidR="00547F50" w:rsidRPr="00547F50">
        <w:t xml:space="preserve"> de </w:t>
      </w:r>
      <w:proofErr w:type="spellStart"/>
      <w:r w:rsidR="00547F50" w:rsidRPr="00547F50">
        <w:t>Tobin</w:t>
      </w:r>
      <w:proofErr w:type="spellEnd"/>
      <w:r w:rsidR="00547F50" w:rsidRPr="00547F50">
        <w:t xml:space="preserve"> es una variable dependiente estánd</w:t>
      </w:r>
      <w:r w:rsidR="00547F50">
        <w:t>ar en los estudios que relación la gobernanza y el valor empresarial</w:t>
      </w:r>
      <w:r w:rsidR="00547F50" w:rsidRPr="00547F50">
        <w:t xml:space="preserve">. </w:t>
      </w:r>
    </w:p>
    <w:p w:rsidR="00956579" w:rsidRDefault="00956579" w:rsidP="0027025C"/>
    <w:p w:rsidR="0027025C" w:rsidRDefault="00547F50" w:rsidP="0027025C">
      <w:r w:rsidRPr="00547F50">
        <w:t xml:space="preserve">En igualdad de condiciones, si la gobernanza afecta el valor de mercado de la empresa, esto debería reflejarse en la q de </w:t>
      </w:r>
      <w:proofErr w:type="spellStart"/>
      <w:r w:rsidRPr="00547F50">
        <w:t>Tobin</w:t>
      </w:r>
      <w:proofErr w:type="spellEnd"/>
      <w:r>
        <w:t xml:space="preserve"> (Black, </w:t>
      </w:r>
      <w:r w:rsidR="00771A41">
        <w:t>De Carvalho</w:t>
      </w:r>
      <w:r>
        <w:t xml:space="preserve"> y </w:t>
      </w:r>
      <w:proofErr w:type="spellStart"/>
      <w:r w:rsidR="00771A41">
        <w:t>Sampaio</w:t>
      </w:r>
      <w:proofErr w:type="spellEnd"/>
      <w:r>
        <w:t>, 2014)</w:t>
      </w:r>
      <w:r w:rsidRPr="00547F50">
        <w:t>.</w:t>
      </w:r>
      <w:r>
        <w:t xml:space="preserve"> L</w:t>
      </w:r>
      <w:r w:rsidR="0027025C">
        <w:t>as dimensiones son: ROA, nivel de apalancamiento, ratio de eficiencia, calidad de crédito, rendimiento de cartera, indicador de gobierno corporativo. Estas dimensiones se explicarán a continuación y serán estas dimensiones las que usaremos en este trabajo.</w:t>
      </w:r>
    </w:p>
    <w:p w:rsidR="0027025C" w:rsidRDefault="0027025C" w:rsidP="00F118A8"/>
    <w:p w:rsidR="003C287E" w:rsidRDefault="00231764" w:rsidP="00F118A8">
      <w:r>
        <w:t xml:space="preserve">La Tabla 2 muestra el cuadro resumen con la descripción de las variables del modelo, es decir, las dimensiones para la aplicación de la Q de </w:t>
      </w:r>
      <w:proofErr w:type="spellStart"/>
      <w:r>
        <w:t>Tobin</w:t>
      </w:r>
      <w:proofErr w:type="spellEnd"/>
      <w:r>
        <w:t xml:space="preserve">: </w:t>
      </w:r>
    </w:p>
    <w:p w:rsidR="00547F50" w:rsidRDefault="00547F50" w:rsidP="003C287E"/>
    <w:p w:rsidR="003C287E" w:rsidRPr="003C287E" w:rsidRDefault="003C287E" w:rsidP="003C287E">
      <w:pPr>
        <w:rPr>
          <w:i/>
        </w:rPr>
      </w:pPr>
      <w:r>
        <w:rPr>
          <w:i/>
        </w:rPr>
        <w:t>Tabla 2</w:t>
      </w:r>
    </w:p>
    <w:p w:rsidR="00177DE7" w:rsidRPr="003C287E" w:rsidRDefault="003C287E" w:rsidP="00B16D14">
      <w:pPr>
        <w:rPr>
          <w:i/>
        </w:rPr>
      </w:pPr>
      <w:r>
        <w:rPr>
          <w:i/>
        </w:rPr>
        <w:t xml:space="preserve">Cuadro resumen </w:t>
      </w:r>
      <w:r w:rsidRPr="003C287E">
        <w:rPr>
          <w:i/>
        </w:rPr>
        <w:t xml:space="preserve">de </w:t>
      </w:r>
      <w:r>
        <w:rPr>
          <w:i/>
        </w:rPr>
        <w:t>variables del modelo</w:t>
      </w:r>
    </w:p>
    <w:tbl>
      <w:tblPr>
        <w:tblStyle w:val="Tablaconcuadrcula"/>
        <w:tblW w:w="8784" w:type="dxa"/>
        <w:tblLook w:val="04A0" w:firstRow="1" w:lastRow="0" w:firstColumn="1" w:lastColumn="0" w:noHBand="0" w:noVBand="1"/>
      </w:tblPr>
      <w:tblGrid>
        <w:gridCol w:w="1794"/>
        <w:gridCol w:w="1512"/>
        <w:gridCol w:w="5478"/>
      </w:tblGrid>
      <w:tr w:rsidR="00547F50" w:rsidRPr="00FF71CD" w:rsidTr="00547F50">
        <w:trPr>
          <w:trHeight w:val="144"/>
        </w:trPr>
        <w:tc>
          <w:tcPr>
            <w:tcW w:w="1794" w:type="dxa"/>
          </w:tcPr>
          <w:p w:rsidR="009D1ED2" w:rsidRPr="00FF71CD" w:rsidRDefault="009D1ED2" w:rsidP="00B16D14">
            <w:pPr>
              <w:rPr>
                <w:b/>
                <w:sz w:val="22"/>
                <w:szCs w:val="19"/>
              </w:rPr>
            </w:pPr>
            <w:r w:rsidRPr="00FF71CD">
              <w:rPr>
                <w:b/>
                <w:sz w:val="22"/>
                <w:szCs w:val="19"/>
              </w:rPr>
              <w:t>Variable</w:t>
            </w:r>
          </w:p>
        </w:tc>
        <w:tc>
          <w:tcPr>
            <w:tcW w:w="1178" w:type="dxa"/>
          </w:tcPr>
          <w:p w:rsidR="009D1ED2" w:rsidRPr="00FF71CD" w:rsidRDefault="009D1ED2" w:rsidP="00B16D14">
            <w:pPr>
              <w:rPr>
                <w:b/>
                <w:sz w:val="22"/>
                <w:szCs w:val="19"/>
              </w:rPr>
            </w:pPr>
            <w:r w:rsidRPr="00FF71CD">
              <w:rPr>
                <w:b/>
                <w:sz w:val="22"/>
                <w:szCs w:val="19"/>
              </w:rPr>
              <w:t>Fórmula</w:t>
            </w:r>
          </w:p>
        </w:tc>
        <w:tc>
          <w:tcPr>
            <w:tcW w:w="5812" w:type="dxa"/>
          </w:tcPr>
          <w:p w:rsidR="009D1ED2" w:rsidRPr="00FF71CD" w:rsidRDefault="009D1ED2" w:rsidP="00B16D14">
            <w:pPr>
              <w:rPr>
                <w:b/>
                <w:sz w:val="22"/>
                <w:szCs w:val="19"/>
              </w:rPr>
            </w:pPr>
            <w:r w:rsidRPr="00FF71CD">
              <w:rPr>
                <w:b/>
                <w:sz w:val="22"/>
                <w:szCs w:val="19"/>
              </w:rPr>
              <w:t>Explicación</w:t>
            </w:r>
            <w:r w:rsidR="00D311B9">
              <w:rPr>
                <w:b/>
                <w:sz w:val="22"/>
                <w:szCs w:val="19"/>
              </w:rPr>
              <w:t xml:space="preserve"> </w:t>
            </w:r>
          </w:p>
        </w:tc>
      </w:tr>
      <w:tr w:rsidR="00547F50" w:rsidRPr="00FF71CD" w:rsidTr="00547F50">
        <w:tc>
          <w:tcPr>
            <w:tcW w:w="1794" w:type="dxa"/>
          </w:tcPr>
          <w:p w:rsidR="00F96A4C" w:rsidRPr="00FF71CD" w:rsidRDefault="009D1ED2" w:rsidP="00B16D14">
            <w:pPr>
              <w:rPr>
                <w:sz w:val="22"/>
                <w:szCs w:val="19"/>
              </w:rPr>
            </w:pPr>
            <w:r w:rsidRPr="00FF71CD">
              <w:rPr>
                <w:sz w:val="22"/>
                <w:szCs w:val="19"/>
              </w:rPr>
              <w:t>Nivel de Apalancamiento – APAL</w:t>
            </w:r>
            <w:r w:rsidR="00F96A4C" w:rsidRPr="00FF71CD">
              <w:rPr>
                <w:sz w:val="22"/>
                <w:szCs w:val="19"/>
              </w:rPr>
              <w:t xml:space="preserve"> </w:t>
            </w:r>
            <w:r w:rsidR="00F96A4C" w:rsidRPr="00FF71CD">
              <w:rPr>
                <w:b/>
                <w:sz w:val="22"/>
                <w:szCs w:val="19"/>
              </w:rPr>
              <w:t>(X</w:t>
            </w:r>
            <w:r w:rsidR="00F96A4C" w:rsidRPr="00FF71CD">
              <w:rPr>
                <w:b/>
                <w:sz w:val="22"/>
                <w:szCs w:val="19"/>
                <w:vertAlign w:val="subscript"/>
              </w:rPr>
              <w:t>1</w:t>
            </w:r>
            <w:r w:rsidR="00F96A4C" w:rsidRPr="00FF71CD">
              <w:rPr>
                <w:b/>
                <w:sz w:val="22"/>
                <w:szCs w:val="19"/>
              </w:rPr>
              <w:t>)</w:t>
            </w:r>
          </w:p>
        </w:tc>
        <w:tc>
          <w:tcPr>
            <w:tcW w:w="1178" w:type="dxa"/>
          </w:tcPr>
          <w:p w:rsidR="009D1ED2" w:rsidRPr="00FF71CD" w:rsidRDefault="009D1ED2" w:rsidP="00B16D14">
            <w:pPr>
              <w:rPr>
                <w:sz w:val="22"/>
                <w:szCs w:val="19"/>
              </w:rPr>
            </w:pPr>
            <w:r w:rsidRPr="00FF71CD">
              <w:rPr>
                <w:sz w:val="22"/>
                <w:szCs w:val="19"/>
              </w:rPr>
              <w:t>%APAL = Pasivo Total / Patrimonio</w:t>
            </w:r>
          </w:p>
        </w:tc>
        <w:tc>
          <w:tcPr>
            <w:tcW w:w="5812" w:type="dxa"/>
          </w:tcPr>
          <w:p w:rsidR="009D1ED2" w:rsidRPr="00FF71CD" w:rsidRDefault="009D1ED2" w:rsidP="00657D6A">
            <w:pPr>
              <w:rPr>
                <w:sz w:val="22"/>
                <w:szCs w:val="19"/>
              </w:rPr>
            </w:pPr>
            <w:r w:rsidRPr="00FF71CD">
              <w:rPr>
                <w:sz w:val="22"/>
                <w:szCs w:val="19"/>
              </w:rPr>
              <w:t>Este índice de deuda/patrimonio cuantifica el apalancamiento financiero total de la institución</w:t>
            </w:r>
            <w:r w:rsidR="00657D6A" w:rsidRPr="00FF71CD">
              <w:rPr>
                <w:sz w:val="22"/>
                <w:szCs w:val="19"/>
              </w:rPr>
              <w:t>. Teóricamente,</w:t>
            </w:r>
            <w:r w:rsidRPr="00FF71CD">
              <w:rPr>
                <w:sz w:val="22"/>
                <w:szCs w:val="19"/>
              </w:rPr>
              <w:t xml:space="preserve"> un mayor endeudamiento generaría un mayor coste de deuda, sin embargo</w:t>
            </w:r>
            <w:r w:rsidR="00657D6A" w:rsidRPr="00FF71CD">
              <w:rPr>
                <w:sz w:val="22"/>
                <w:szCs w:val="19"/>
              </w:rPr>
              <w:t>,</w:t>
            </w:r>
            <w:r w:rsidRPr="00FF71CD">
              <w:rPr>
                <w:sz w:val="22"/>
                <w:szCs w:val="19"/>
              </w:rPr>
              <w:t xml:space="preserve"> el teorema de </w:t>
            </w:r>
            <w:proofErr w:type="spellStart"/>
            <w:r w:rsidRPr="00FF71CD">
              <w:rPr>
                <w:sz w:val="22"/>
                <w:szCs w:val="19"/>
              </w:rPr>
              <w:lastRenderedPageBreak/>
              <w:t>Modigliani</w:t>
            </w:r>
            <w:proofErr w:type="spellEnd"/>
            <w:r w:rsidRPr="00FF71CD">
              <w:rPr>
                <w:sz w:val="22"/>
                <w:szCs w:val="19"/>
              </w:rPr>
              <w:t xml:space="preserve"> y Miller (1958) </w:t>
            </w:r>
            <w:r w:rsidR="00657D6A" w:rsidRPr="00FF71CD">
              <w:rPr>
                <w:sz w:val="22"/>
                <w:szCs w:val="19"/>
              </w:rPr>
              <w:t xml:space="preserve">señala </w:t>
            </w:r>
            <w:r w:rsidRPr="00FF71CD">
              <w:rPr>
                <w:sz w:val="22"/>
                <w:szCs w:val="19"/>
              </w:rPr>
              <w:t>que el valor de una empresa es independiente de la estructura de capital).</w:t>
            </w:r>
            <w:r w:rsidR="00657D6A" w:rsidRPr="00FF71CD">
              <w:rPr>
                <w:sz w:val="22"/>
                <w:szCs w:val="19"/>
              </w:rPr>
              <w:t xml:space="preserve"> Dentro de la literatura; </w:t>
            </w:r>
            <w:proofErr w:type="spellStart"/>
            <w:r w:rsidR="00657D6A" w:rsidRPr="00FF71CD">
              <w:rPr>
                <w:sz w:val="22"/>
                <w:szCs w:val="19"/>
              </w:rPr>
              <w:t>Twairesh</w:t>
            </w:r>
            <w:proofErr w:type="spellEnd"/>
            <w:r w:rsidR="00657D6A" w:rsidRPr="00FF71CD">
              <w:rPr>
                <w:sz w:val="22"/>
                <w:szCs w:val="19"/>
              </w:rPr>
              <w:t xml:space="preserve"> (2014), </w:t>
            </w:r>
            <w:proofErr w:type="spellStart"/>
            <w:r w:rsidR="00657D6A" w:rsidRPr="00FF71CD">
              <w:rPr>
                <w:sz w:val="22"/>
                <w:szCs w:val="19"/>
              </w:rPr>
              <w:t>Goyal</w:t>
            </w:r>
            <w:proofErr w:type="spellEnd"/>
            <w:r w:rsidR="00657D6A" w:rsidRPr="00FF71CD">
              <w:rPr>
                <w:sz w:val="22"/>
                <w:szCs w:val="19"/>
              </w:rPr>
              <w:t xml:space="preserve"> (2013), Gill, </w:t>
            </w:r>
            <w:proofErr w:type="spellStart"/>
            <w:r w:rsidR="00657D6A" w:rsidRPr="00FF71CD">
              <w:rPr>
                <w:sz w:val="22"/>
                <w:szCs w:val="19"/>
              </w:rPr>
              <w:t>Biger</w:t>
            </w:r>
            <w:proofErr w:type="spellEnd"/>
            <w:r w:rsidR="00657D6A" w:rsidRPr="00FF71CD">
              <w:rPr>
                <w:sz w:val="22"/>
                <w:szCs w:val="19"/>
              </w:rPr>
              <w:t xml:space="preserve"> y </w:t>
            </w:r>
            <w:proofErr w:type="spellStart"/>
            <w:r w:rsidR="00657D6A" w:rsidRPr="00FF71CD">
              <w:rPr>
                <w:sz w:val="22"/>
                <w:szCs w:val="19"/>
              </w:rPr>
              <w:t>Mathur</w:t>
            </w:r>
            <w:proofErr w:type="spellEnd"/>
            <w:r w:rsidR="00657D6A" w:rsidRPr="00FF71CD">
              <w:rPr>
                <w:sz w:val="22"/>
                <w:szCs w:val="19"/>
              </w:rPr>
              <w:t xml:space="preserve"> (2011), </w:t>
            </w:r>
            <w:proofErr w:type="spellStart"/>
            <w:r w:rsidR="00657D6A" w:rsidRPr="00FF71CD">
              <w:rPr>
                <w:sz w:val="22"/>
                <w:szCs w:val="19"/>
              </w:rPr>
              <w:t>Ramachaday</w:t>
            </w:r>
            <w:proofErr w:type="spellEnd"/>
            <w:r w:rsidR="00657D6A" w:rsidRPr="00FF71CD">
              <w:rPr>
                <w:sz w:val="22"/>
                <w:szCs w:val="19"/>
              </w:rPr>
              <w:t xml:space="preserve"> y </w:t>
            </w:r>
            <w:proofErr w:type="spellStart"/>
            <w:r w:rsidR="00657D6A" w:rsidRPr="00FF71CD">
              <w:rPr>
                <w:sz w:val="22"/>
                <w:szCs w:val="19"/>
              </w:rPr>
              <w:t>Candasamy</w:t>
            </w:r>
            <w:proofErr w:type="spellEnd"/>
            <w:r w:rsidR="00657D6A" w:rsidRPr="00FF71CD">
              <w:rPr>
                <w:sz w:val="22"/>
                <w:szCs w:val="19"/>
              </w:rPr>
              <w:t xml:space="preserve"> (2011) y </w:t>
            </w:r>
            <w:proofErr w:type="spellStart"/>
            <w:r w:rsidR="00657D6A" w:rsidRPr="00FF71CD">
              <w:rPr>
                <w:sz w:val="22"/>
                <w:szCs w:val="19"/>
              </w:rPr>
              <w:t>Pouraghajan</w:t>
            </w:r>
            <w:proofErr w:type="spellEnd"/>
            <w:r w:rsidR="00657D6A" w:rsidRPr="00FF71CD">
              <w:rPr>
                <w:sz w:val="22"/>
                <w:szCs w:val="19"/>
              </w:rPr>
              <w:t xml:space="preserve"> y </w:t>
            </w:r>
            <w:proofErr w:type="spellStart"/>
            <w:r w:rsidR="00657D6A" w:rsidRPr="00FF71CD">
              <w:rPr>
                <w:sz w:val="22"/>
                <w:szCs w:val="19"/>
              </w:rPr>
              <w:t>Malekian</w:t>
            </w:r>
            <w:proofErr w:type="spellEnd"/>
            <w:r w:rsidR="00657D6A" w:rsidRPr="00FF71CD">
              <w:rPr>
                <w:sz w:val="22"/>
                <w:szCs w:val="19"/>
              </w:rPr>
              <w:t xml:space="preserve"> (2012), encontraron relación positiva entre el nivel de apalancamiento y las variables desempeño y valor de la firma; mientras que </w:t>
            </w:r>
            <w:proofErr w:type="spellStart"/>
            <w:r w:rsidR="00657D6A" w:rsidRPr="00FF71CD">
              <w:rPr>
                <w:sz w:val="22"/>
                <w:szCs w:val="19"/>
              </w:rPr>
              <w:t>Olokoyo</w:t>
            </w:r>
            <w:proofErr w:type="spellEnd"/>
            <w:r w:rsidR="00657D6A" w:rsidRPr="00FF71CD">
              <w:rPr>
                <w:sz w:val="22"/>
                <w:szCs w:val="19"/>
              </w:rPr>
              <w:t xml:space="preserve"> (2013), </w:t>
            </w:r>
            <w:proofErr w:type="spellStart"/>
            <w:r w:rsidR="00657D6A" w:rsidRPr="00FF71CD">
              <w:rPr>
                <w:sz w:val="22"/>
                <w:szCs w:val="19"/>
              </w:rPr>
              <w:t>Quang</w:t>
            </w:r>
            <w:proofErr w:type="spellEnd"/>
            <w:r w:rsidR="00657D6A" w:rsidRPr="00FF71CD">
              <w:rPr>
                <w:sz w:val="22"/>
                <w:szCs w:val="19"/>
              </w:rPr>
              <w:t xml:space="preserve"> y </w:t>
            </w:r>
            <w:proofErr w:type="spellStart"/>
            <w:r w:rsidR="00657D6A" w:rsidRPr="00FF71CD">
              <w:rPr>
                <w:sz w:val="22"/>
                <w:szCs w:val="19"/>
              </w:rPr>
              <w:t>Xin</w:t>
            </w:r>
            <w:proofErr w:type="spellEnd"/>
            <w:r w:rsidR="00657D6A" w:rsidRPr="00FF71CD">
              <w:rPr>
                <w:sz w:val="22"/>
                <w:szCs w:val="19"/>
              </w:rPr>
              <w:t xml:space="preserve"> (2014), </w:t>
            </w:r>
            <w:proofErr w:type="spellStart"/>
            <w:r w:rsidR="00657D6A" w:rsidRPr="00FF71CD">
              <w:rPr>
                <w:sz w:val="22"/>
                <w:szCs w:val="19"/>
              </w:rPr>
              <w:t>Mireku</w:t>
            </w:r>
            <w:proofErr w:type="spellEnd"/>
            <w:r w:rsidR="00657D6A" w:rsidRPr="00FF71CD">
              <w:rPr>
                <w:sz w:val="22"/>
                <w:szCs w:val="19"/>
              </w:rPr>
              <w:t xml:space="preserve">, </w:t>
            </w:r>
            <w:proofErr w:type="spellStart"/>
            <w:r w:rsidR="00657D6A" w:rsidRPr="00FF71CD">
              <w:rPr>
                <w:sz w:val="22"/>
                <w:szCs w:val="19"/>
              </w:rPr>
              <w:t>Mensah</w:t>
            </w:r>
            <w:proofErr w:type="spellEnd"/>
            <w:r w:rsidR="00657D6A" w:rsidRPr="00FF71CD">
              <w:rPr>
                <w:sz w:val="22"/>
                <w:szCs w:val="19"/>
              </w:rPr>
              <w:t xml:space="preserve"> y </w:t>
            </w:r>
            <w:proofErr w:type="spellStart"/>
            <w:r w:rsidR="00657D6A" w:rsidRPr="00FF71CD">
              <w:rPr>
                <w:sz w:val="22"/>
                <w:szCs w:val="19"/>
              </w:rPr>
              <w:t>Ogoe</w:t>
            </w:r>
            <w:proofErr w:type="spellEnd"/>
            <w:r w:rsidR="00657D6A" w:rsidRPr="00FF71CD">
              <w:rPr>
                <w:sz w:val="22"/>
                <w:szCs w:val="19"/>
              </w:rPr>
              <w:t xml:space="preserve"> (2014) argumentan lo opuesto. Un estudio reciente de </w:t>
            </w:r>
            <w:proofErr w:type="spellStart"/>
            <w:r w:rsidR="00657D6A" w:rsidRPr="00FF71CD">
              <w:rPr>
                <w:sz w:val="22"/>
                <w:szCs w:val="19"/>
              </w:rPr>
              <w:t>Chadha</w:t>
            </w:r>
            <w:proofErr w:type="spellEnd"/>
            <w:r w:rsidR="00657D6A" w:rsidRPr="00FF71CD">
              <w:rPr>
                <w:sz w:val="22"/>
                <w:szCs w:val="19"/>
              </w:rPr>
              <w:t xml:space="preserve"> y </w:t>
            </w:r>
            <w:proofErr w:type="spellStart"/>
            <w:r w:rsidR="00657D6A" w:rsidRPr="00FF71CD">
              <w:rPr>
                <w:sz w:val="22"/>
                <w:szCs w:val="19"/>
              </w:rPr>
              <w:t>Sharma</w:t>
            </w:r>
            <w:proofErr w:type="spellEnd"/>
            <w:r w:rsidR="00657D6A" w:rsidRPr="00FF71CD">
              <w:rPr>
                <w:sz w:val="22"/>
                <w:szCs w:val="19"/>
              </w:rPr>
              <w:t xml:space="preserve"> (2017) evidencia que el nivel de apalancamiento no tiene impacto </w:t>
            </w:r>
            <w:r w:rsidR="00FF71CD" w:rsidRPr="00FF71CD">
              <w:rPr>
                <w:sz w:val="22"/>
                <w:szCs w:val="19"/>
              </w:rPr>
              <w:t xml:space="preserve">en el valor (medido con la q de </w:t>
            </w:r>
            <w:proofErr w:type="spellStart"/>
            <w:r w:rsidR="00FF71CD" w:rsidRPr="00FF71CD">
              <w:rPr>
                <w:sz w:val="22"/>
                <w:szCs w:val="19"/>
              </w:rPr>
              <w:t>Tobin</w:t>
            </w:r>
            <w:proofErr w:type="spellEnd"/>
            <w:r w:rsidR="00FF71CD" w:rsidRPr="00FF71CD">
              <w:rPr>
                <w:sz w:val="22"/>
                <w:szCs w:val="19"/>
              </w:rPr>
              <w:t xml:space="preserve">) de las empresas manufactureras de la India. </w:t>
            </w:r>
          </w:p>
        </w:tc>
      </w:tr>
      <w:tr w:rsidR="00547F50" w:rsidRPr="00FF71CD" w:rsidTr="00547F50">
        <w:tc>
          <w:tcPr>
            <w:tcW w:w="1794" w:type="dxa"/>
          </w:tcPr>
          <w:p w:rsidR="009D1ED2" w:rsidRPr="00FF71CD" w:rsidRDefault="009D1ED2" w:rsidP="00B16D14">
            <w:pPr>
              <w:rPr>
                <w:sz w:val="22"/>
                <w:szCs w:val="19"/>
              </w:rPr>
            </w:pPr>
            <w:r w:rsidRPr="00FF71CD">
              <w:rPr>
                <w:sz w:val="22"/>
                <w:szCs w:val="19"/>
              </w:rPr>
              <w:lastRenderedPageBreak/>
              <w:t>Ratio de Eficiencia – RAT_EFI</w:t>
            </w:r>
            <w:r w:rsidR="00F96A4C" w:rsidRPr="00FF71CD">
              <w:rPr>
                <w:sz w:val="22"/>
                <w:szCs w:val="19"/>
              </w:rPr>
              <w:t xml:space="preserve"> </w:t>
            </w:r>
            <w:r w:rsidR="00F96A4C" w:rsidRPr="00FF71CD">
              <w:rPr>
                <w:b/>
                <w:sz w:val="22"/>
                <w:szCs w:val="19"/>
              </w:rPr>
              <w:t>(X</w:t>
            </w:r>
            <w:r w:rsidR="00F96A4C" w:rsidRPr="00FF71CD">
              <w:rPr>
                <w:b/>
                <w:sz w:val="22"/>
                <w:szCs w:val="19"/>
                <w:vertAlign w:val="subscript"/>
              </w:rPr>
              <w:t>2</w:t>
            </w:r>
            <w:r w:rsidR="00F96A4C" w:rsidRPr="00FF71CD">
              <w:rPr>
                <w:b/>
                <w:sz w:val="22"/>
                <w:szCs w:val="19"/>
              </w:rPr>
              <w:t>)</w:t>
            </w:r>
          </w:p>
        </w:tc>
        <w:tc>
          <w:tcPr>
            <w:tcW w:w="1178" w:type="dxa"/>
          </w:tcPr>
          <w:p w:rsidR="009D1ED2" w:rsidRPr="00FF71CD" w:rsidRDefault="009D1ED2" w:rsidP="00B16D14">
            <w:pPr>
              <w:rPr>
                <w:sz w:val="22"/>
                <w:szCs w:val="19"/>
              </w:rPr>
            </w:pPr>
            <w:r w:rsidRPr="00FF71CD">
              <w:rPr>
                <w:sz w:val="22"/>
                <w:szCs w:val="19"/>
              </w:rPr>
              <w:t xml:space="preserve">RAT_EFI = </w:t>
            </w:r>
          </w:p>
          <w:p w:rsidR="009D1ED2" w:rsidRPr="00FF71CD" w:rsidRDefault="009D1ED2" w:rsidP="00B16D14">
            <w:pPr>
              <w:rPr>
                <w:sz w:val="22"/>
                <w:szCs w:val="19"/>
              </w:rPr>
            </w:pPr>
            <w:r w:rsidRPr="00FF71CD">
              <w:rPr>
                <w:sz w:val="22"/>
                <w:szCs w:val="19"/>
              </w:rPr>
              <w:t>Gastos Operativos / Cartera Bruta Promedio</w:t>
            </w:r>
          </w:p>
        </w:tc>
        <w:tc>
          <w:tcPr>
            <w:tcW w:w="5812" w:type="dxa"/>
          </w:tcPr>
          <w:p w:rsidR="009D1ED2" w:rsidRPr="00FF71CD" w:rsidRDefault="009D1ED2" w:rsidP="00B16D14">
            <w:pPr>
              <w:rPr>
                <w:sz w:val="22"/>
                <w:szCs w:val="19"/>
              </w:rPr>
            </w:pPr>
            <w:r w:rsidRPr="00FF71CD">
              <w:rPr>
                <w:sz w:val="22"/>
                <w:szCs w:val="19"/>
              </w:rPr>
              <w:t xml:space="preserve">Este indicador de eficiencia permite determinar cuán eficientemente el banco usa sus activos y pasivos en la operatividad interna y vinculada a la cartera crediticia. En otras palabras, muestra cual es el monto de los gastos necesario para generar ingresos operativos. Según </w:t>
            </w:r>
            <w:proofErr w:type="spellStart"/>
            <w:r w:rsidRPr="00FF71CD">
              <w:rPr>
                <w:sz w:val="22"/>
                <w:szCs w:val="19"/>
              </w:rPr>
              <w:t>Microrate</w:t>
            </w:r>
            <w:proofErr w:type="spellEnd"/>
            <w:r w:rsidRPr="00FF71CD">
              <w:rPr>
                <w:sz w:val="22"/>
                <w:szCs w:val="19"/>
              </w:rPr>
              <w:t xml:space="preserve"> (2014) este cálculo mide el desempeño del banco y puede ser comparado relativamente con la industria y si se mejorará este ratio usualmente se traduciría en mayor rentabilidad.</w:t>
            </w:r>
          </w:p>
        </w:tc>
      </w:tr>
      <w:tr w:rsidR="00547F50" w:rsidRPr="00FF71CD" w:rsidTr="00547F50">
        <w:tc>
          <w:tcPr>
            <w:tcW w:w="1794" w:type="dxa"/>
          </w:tcPr>
          <w:p w:rsidR="009D1ED2" w:rsidRPr="00FF71CD" w:rsidRDefault="009D1ED2" w:rsidP="00B16D14">
            <w:pPr>
              <w:rPr>
                <w:sz w:val="22"/>
                <w:szCs w:val="19"/>
              </w:rPr>
            </w:pPr>
            <w:r w:rsidRPr="00FF71CD">
              <w:rPr>
                <w:sz w:val="22"/>
                <w:szCs w:val="19"/>
              </w:rPr>
              <w:t>Retorno de Activos – ROA</w:t>
            </w:r>
            <w:r w:rsidR="00F96A4C" w:rsidRPr="00FF71CD">
              <w:rPr>
                <w:sz w:val="22"/>
                <w:szCs w:val="19"/>
              </w:rPr>
              <w:t xml:space="preserve"> </w:t>
            </w:r>
            <w:r w:rsidR="00F96A4C" w:rsidRPr="00FF71CD">
              <w:rPr>
                <w:b/>
                <w:sz w:val="22"/>
                <w:szCs w:val="19"/>
              </w:rPr>
              <w:t>(X</w:t>
            </w:r>
            <w:r w:rsidR="00F96A4C" w:rsidRPr="00FF71CD">
              <w:rPr>
                <w:b/>
                <w:sz w:val="22"/>
                <w:szCs w:val="19"/>
                <w:vertAlign w:val="subscript"/>
              </w:rPr>
              <w:t>3</w:t>
            </w:r>
            <w:r w:rsidR="00F96A4C" w:rsidRPr="00FF71CD">
              <w:rPr>
                <w:b/>
                <w:sz w:val="22"/>
                <w:szCs w:val="19"/>
              </w:rPr>
              <w:t>)</w:t>
            </w:r>
            <w:r w:rsidRPr="00FF71CD">
              <w:rPr>
                <w:sz w:val="22"/>
                <w:szCs w:val="19"/>
              </w:rPr>
              <w:t xml:space="preserve"> </w:t>
            </w:r>
          </w:p>
        </w:tc>
        <w:tc>
          <w:tcPr>
            <w:tcW w:w="1178" w:type="dxa"/>
          </w:tcPr>
          <w:p w:rsidR="009D1ED2" w:rsidRPr="00FF71CD" w:rsidRDefault="009D1ED2" w:rsidP="00B16D14">
            <w:pPr>
              <w:rPr>
                <w:sz w:val="22"/>
                <w:szCs w:val="19"/>
              </w:rPr>
            </w:pPr>
            <w:r w:rsidRPr="00FF71CD">
              <w:rPr>
                <w:sz w:val="22"/>
                <w:szCs w:val="19"/>
              </w:rPr>
              <w:t xml:space="preserve">ROA = </w:t>
            </w:r>
          </w:p>
          <w:p w:rsidR="009D1ED2" w:rsidRPr="00FF71CD" w:rsidRDefault="009D1ED2" w:rsidP="00B16D14">
            <w:pPr>
              <w:rPr>
                <w:sz w:val="22"/>
                <w:szCs w:val="19"/>
              </w:rPr>
            </w:pPr>
            <w:r w:rsidRPr="00FF71CD">
              <w:rPr>
                <w:sz w:val="22"/>
                <w:szCs w:val="19"/>
              </w:rPr>
              <w:t>Utilidad Neta / Activo Total</w:t>
            </w:r>
          </w:p>
        </w:tc>
        <w:tc>
          <w:tcPr>
            <w:tcW w:w="5812" w:type="dxa"/>
          </w:tcPr>
          <w:p w:rsidR="009D1ED2" w:rsidRPr="00FF71CD" w:rsidRDefault="009D1ED2" w:rsidP="00B16D14">
            <w:pPr>
              <w:rPr>
                <w:sz w:val="22"/>
                <w:szCs w:val="19"/>
              </w:rPr>
            </w:pPr>
            <w:r w:rsidRPr="00FF71CD">
              <w:rPr>
                <w:sz w:val="22"/>
                <w:szCs w:val="19"/>
              </w:rPr>
              <w:t xml:space="preserve">El </w:t>
            </w:r>
            <w:r w:rsidR="00445B75" w:rsidRPr="00FF71CD">
              <w:rPr>
                <w:sz w:val="22"/>
                <w:szCs w:val="19"/>
              </w:rPr>
              <w:t xml:space="preserve">ROA es una indicación de la capacidad de la empresa para producir ingresos basados ​​en la contabilidad que exceden los gastos reales de una cartera de activos determinada medida como costos históricos amortizados (Carter, </w:t>
            </w:r>
            <w:proofErr w:type="spellStart"/>
            <w:r w:rsidR="00445B75" w:rsidRPr="00FF71CD">
              <w:rPr>
                <w:sz w:val="22"/>
                <w:szCs w:val="19"/>
              </w:rPr>
              <w:t>D'Souza</w:t>
            </w:r>
            <w:proofErr w:type="spellEnd"/>
            <w:r w:rsidR="00445B75" w:rsidRPr="00FF71CD">
              <w:rPr>
                <w:sz w:val="22"/>
                <w:szCs w:val="19"/>
              </w:rPr>
              <w:t xml:space="preserve">, </w:t>
            </w:r>
            <w:proofErr w:type="spellStart"/>
            <w:r w:rsidR="00445B75" w:rsidRPr="00FF71CD">
              <w:rPr>
                <w:sz w:val="22"/>
                <w:szCs w:val="19"/>
              </w:rPr>
              <w:t>Simkins</w:t>
            </w:r>
            <w:proofErr w:type="spellEnd"/>
            <w:r w:rsidR="00445B75" w:rsidRPr="00FF71CD">
              <w:rPr>
                <w:sz w:val="22"/>
                <w:szCs w:val="19"/>
              </w:rPr>
              <w:t xml:space="preserve"> y Simpson, 2010; citado en Hutchinson</w:t>
            </w:r>
            <w:r w:rsidR="008F5F81" w:rsidRPr="00FF71CD">
              <w:rPr>
                <w:sz w:val="22"/>
                <w:szCs w:val="19"/>
              </w:rPr>
              <w:t xml:space="preserve"> et al.</w:t>
            </w:r>
            <w:r w:rsidR="00445B75" w:rsidRPr="00FF71CD">
              <w:rPr>
                <w:sz w:val="22"/>
                <w:szCs w:val="19"/>
              </w:rPr>
              <w:t>, 2015)</w:t>
            </w:r>
            <w:r w:rsidRPr="00FF71CD">
              <w:rPr>
                <w:sz w:val="22"/>
                <w:szCs w:val="19"/>
              </w:rPr>
              <w:t xml:space="preserve">. </w:t>
            </w:r>
            <w:proofErr w:type="spellStart"/>
            <w:r w:rsidRPr="00FF71CD">
              <w:rPr>
                <w:sz w:val="22"/>
                <w:szCs w:val="19"/>
              </w:rPr>
              <w:t>Lestari</w:t>
            </w:r>
            <w:proofErr w:type="spellEnd"/>
            <w:r w:rsidRPr="00FF71CD">
              <w:rPr>
                <w:sz w:val="22"/>
                <w:szCs w:val="19"/>
              </w:rPr>
              <w:t xml:space="preserve"> y </w:t>
            </w:r>
            <w:proofErr w:type="spellStart"/>
            <w:r w:rsidRPr="00FF71CD">
              <w:rPr>
                <w:sz w:val="22"/>
                <w:szCs w:val="19"/>
              </w:rPr>
              <w:t>Sugiharto</w:t>
            </w:r>
            <w:proofErr w:type="spellEnd"/>
            <w:r w:rsidRPr="00FF71CD">
              <w:rPr>
                <w:sz w:val="22"/>
                <w:szCs w:val="19"/>
              </w:rPr>
              <w:t xml:space="preserve"> (2007) acotaron que el ROA es la proporción utilizada para medir los beneficios derivados del uso del activo, apoyando ésta teoría, </w:t>
            </w:r>
            <w:proofErr w:type="spellStart"/>
            <w:r w:rsidRPr="00FF71CD">
              <w:rPr>
                <w:sz w:val="22"/>
                <w:szCs w:val="19"/>
              </w:rPr>
              <w:t>Mardiyanto</w:t>
            </w:r>
            <w:proofErr w:type="spellEnd"/>
            <w:r w:rsidRPr="00FF71CD">
              <w:rPr>
                <w:sz w:val="22"/>
                <w:szCs w:val="19"/>
              </w:rPr>
              <w:t xml:space="preserve"> (2009) indica, el ROA es la proporción utilizada para medir la capacidad de una empresa para generar beneficios derivados de las actividades de inversión. Así mismo </w:t>
            </w:r>
            <w:proofErr w:type="spellStart"/>
            <w:r w:rsidRPr="00FF71CD">
              <w:rPr>
                <w:sz w:val="22"/>
                <w:szCs w:val="19"/>
              </w:rPr>
              <w:t>Rinati</w:t>
            </w:r>
            <w:proofErr w:type="spellEnd"/>
            <w:r w:rsidRPr="00FF71CD">
              <w:rPr>
                <w:sz w:val="22"/>
                <w:szCs w:val="19"/>
              </w:rPr>
              <w:t xml:space="preserve">, I. (2012) indica que cuanto mayor sea la relación entre el ROA y los activos financieros (precio de las acciones), mejor es la productividad de los activos en </w:t>
            </w:r>
            <w:r w:rsidR="00D311B9">
              <w:rPr>
                <w:sz w:val="22"/>
                <w:szCs w:val="19"/>
              </w:rPr>
              <w:t xml:space="preserve">una ganancia neta o ganancia. </w:t>
            </w:r>
            <w:proofErr w:type="spellStart"/>
            <w:r w:rsidR="00D311B9" w:rsidRPr="00D311B9">
              <w:rPr>
                <w:sz w:val="22"/>
                <w:szCs w:val="19"/>
              </w:rPr>
              <w:t>Ketchen</w:t>
            </w:r>
            <w:proofErr w:type="spellEnd"/>
            <w:r w:rsidR="00D311B9" w:rsidRPr="00D311B9">
              <w:rPr>
                <w:sz w:val="22"/>
                <w:szCs w:val="19"/>
              </w:rPr>
              <w:t xml:space="preserve">, Palmer y </w:t>
            </w:r>
            <w:proofErr w:type="spellStart"/>
            <w:r w:rsidR="00D311B9" w:rsidRPr="00D311B9">
              <w:rPr>
                <w:sz w:val="22"/>
                <w:szCs w:val="19"/>
              </w:rPr>
              <w:t>Hult</w:t>
            </w:r>
            <w:proofErr w:type="spellEnd"/>
            <w:r w:rsidR="00D311B9" w:rsidRPr="00D311B9">
              <w:rPr>
                <w:sz w:val="22"/>
                <w:szCs w:val="19"/>
              </w:rPr>
              <w:t xml:space="preserve"> (2007</w:t>
            </w:r>
            <w:r w:rsidR="00D311B9">
              <w:rPr>
                <w:sz w:val="22"/>
                <w:szCs w:val="19"/>
              </w:rPr>
              <w:t xml:space="preserve">; citado en </w:t>
            </w:r>
            <w:proofErr w:type="spellStart"/>
            <w:r w:rsidR="00D311B9">
              <w:rPr>
                <w:sz w:val="22"/>
                <w:szCs w:val="19"/>
              </w:rPr>
              <w:t>Chadha</w:t>
            </w:r>
            <w:proofErr w:type="spellEnd"/>
            <w:r w:rsidR="00D311B9">
              <w:rPr>
                <w:sz w:val="22"/>
                <w:szCs w:val="19"/>
              </w:rPr>
              <w:t xml:space="preserve"> y </w:t>
            </w:r>
            <w:proofErr w:type="spellStart"/>
            <w:r w:rsidR="00D311B9">
              <w:rPr>
                <w:sz w:val="22"/>
                <w:szCs w:val="19"/>
              </w:rPr>
              <w:t>Sharma</w:t>
            </w:r>
            <w:proofErr w:type="spellEnd"/>
            <w:r w:rsidR="00D311B9">
              <w:rPr>
                <w:sz w:val="22"/>
                <w:szCs w:val="19"/>
              </w:rPr>
              <w:t>, 2017</w:t>
            </w:r>
            <w:r w:rsidR="00D311B9" w:rsidRPr="00D311B9">
              <w:rPr>
                <w:sz w:val="22"/>
                <w:szCs w:val="19"/>
              </w:rPr>
              <w:t xml:space="preserve">) analizaron muchos estudios previos y llegaron a la conclusión de que ROA, ROE y Q de </w:t>
            </w:r>
            <w:proofErr w:type="spellStart"/>
            <w:r w:rsidR="00D311B9" w:rsidRPr="00D311B9">
              <w:rPr>
                <w:sz w:val="22"/>
                <w:szCs w:val="19"/>
              </w:rPr>
              <w:t>Tobin</w:t>
            </w:r>
            <w:proofErr w:type="spellEnd"/>
            <w:r w:rsidR="00D311B9" w:rsidRPr="00D311B9">
              <w:rPr>
                <w:sz w:val="22"/>
                <w:szCs w:val="19"/>
              </w:rPr>
              <w:t xml:space="preserve"> a menudo se utilizan como indicadores de medició</w:t>
            </w:r>
            <w:r w:rsidR="00D311B9">
              <w:rPr>
                <w:sz w:val="22"/>
                <w:szCs w:val="19"/>
              </w:rPr>
              <w:t>n del rendimiento de la empresa.</w:t>
            </w:r>
          </w:p>
        </w:tc>
      </w:tr>
      <w:tr w:rsidR="00547F50" w:rsidRPr="00FF71CD" w:rsidTr="00547F50">
        <w:tc>
          <w:tcPr>
            <w:tcW w:w="1794" w:type="dxa"/>
          </w:tcPr>
          <w:p w:rsidR="009D1ED2" w:rsidRPr="00FF71CD" w:rsidRDefault="009D1ED2" w:rsidP="00B16D14">
            <w:pPr>
              <w:rPr>
                <w:sz w:val="22"/>
                <w:szCs w:val="19"/>
              </w:rPr>
            </w:pPr>
            <w:r w:rsidRPr="00FF71CD">
              <w:rPr>
                <w:sz w:val="22"/>
                <w:szCs w:val="19"/>
              </w:rPr>
              <w:t>Calidad del crédito – CAL_CARTE</w:t>
            </w:r>
            <w:r w:rsidR="00F96A4C" w:rsidRPr="00FF71CD">
              <w:rPr>
                <w:sz w:val="22"/>
                <w:szCs w:val="19"/>
              </w:rPr>
              <w:t xml:space="preserve"> </w:t>
            </w:r>
            <w:r w:rsidR="00F96A4C" w:rsidRPr="00FF71CD">
              <w:rPr>
                <w:b/>
                <w:sz w:val="22"/>
                <w:szCs w:val="19"/>
              </w:rPr>
              <w:t>(X</w:t>
            </w:r>
            <w:r w:rsidR="00F96A4C" w:rsidRPr="00FF71CD">
              <w:rPr>
                <w:b/>
                <w:sz w:val="22"/>
                <w:szCs w:val="19"/>
                <w:vertAlign w:val="subscript"/>
              </w:rPr>
              <w:t>4</w:t>
            </w:r>
            <w:r w:rsidR="00F96A4C" w:rsidRPr="00FF71CD">
              <w:rPr>
                <w:b/>
                <w:sz w:val="22"/>
                <w:szCs w:val="19"/>
              </w:rPr>
              <w:t>)</w:t>
            </w:r>
          </w:p>
        </w:tc>
        <w:tc>
          <w:tcPr>
            <w:tcW w:w="1178" w:type="dxa"/>
          </w:tcPr>
          <w:p w:rsidR="009D1ED2" w:rsidRPr="00FF71CD" w:rsidRDefault="009D1ED2" w:rsidP="00177DE7">
            <w:pPr>
              <w:rPr>
                <w:sz w:val="22"/>
                <w:szCs w:val="19"/>
              </w:rPr>
            </w:pPr>
            <w:r w:rsidRPr="00FF71CD">
              <w:rPr>
                <w:sz w:val="22"/>
                <w:szCs w:val="19"/>
              </w:rPr>
              <w:t xml:space="preserve">CAL_CARTE = </w:t>
            </w:r>
          </w:p>
          <w:p w:rsidR="009D1ED2" w:rsidRPr="00FF71CD" w:rsidRDefault="009D1ED2" w:rsidP="00177DE7">
            <w:pPr>
              <w:rPr>
                <w:sz w:val="22"/>
                <w:szCs w:val="19"/>
              </w:rPr>
            </w:pPr>
            <w:r w:rsidRPr="00FF71CD">
              <w:rPr>
                <w:sz w:val="22"/>
                <w:szCs w:val="19"/>
              </w:rPr>
              <w:t>Provisión / Cartera Bruta Promedio</w:t>
            </w:r>
          </w:p>
        </w:tc>
        <w:tc>
          <w:tcPr>
            <w:tcW w:w="5812" w:type="dxa"/>
          </w:tcPr>
          <w:p w:rsidR="009D1ED2" w:rsidRPr="00FF71CD" w:rsidRDefault="009D1ED2" w:rsidP="00177DE7">
            <w:pPr>
              <w:rPr>
                <w:sz w:val="22"/>
                <w:szCs w:val="19"/>
              </w:rPr>
            </w:pPr>
            <w:r w:rsidRPr="00FF71CD">
              <w:rPr>
                <w:sz w:val="22"/>
                <w:szCs w:val="19"/>
              </w:rPr>
              <w:t xml:space="preserve">Este indicador es una medida sobre el gasto incurrido por la institución para poder anticipar futuras pérdidas en los créditos otorgados. Según </w:t>
            </w:r>
            <w:proofErr w:type="spellStart"/>
            <w:r w:rsidRPr="00FF71CD">
              <w:rPr>
                <w:sz w:val="22"/>
                <w:szCs w:val="19"/>
              </w:rPr>
              <w:t>Microrate</w:t>
            </w:r>
            <w:proofErr w:type="spellEnd"/>
            <w:r w:rsidRPr="00FF71CD">
              <w:rPr>
                <w:sz w:val="22"/>
                <w:szCs w:val="19"/>
              </w:rPr>
              <w:t xml:space="preserve"> (2014) este ratio es importante porque afecta el capital de trabajo y es monitoreado muy de cerca p</w:t>
            </w:r>
            <w:r w:rsidR="003E559A" w:rsidRPr="00FF71CD">
              <w:rPr>
                <w:sz w:val="22"/>
                <w:szCs w:val="19"/>
              </w:rPr>
              <w:t>or los reguladores.</w:t>
            </w:r>
            <w:r w:rsidRPr="00FF71CD">
              <w:rPr>
                <w:sz w:val="22"/>
                <w:szCs w:val="19"/>
              </w:rPr>
              <w:t xml:space="preserve"> Hace referencia a los riesgos que toma el sector bancario sobre sus préstamos otorgados, por ende López y Sebastián (2008) indican que un banco puede </w:t>
            </w:r>
            <w:r w:rsidRPr="00FF71CD">
              <w:rPr>
                <w:sz w:val="22"/>
                <w:szCs w:val="19"/>
              </w:rPr>
              <w:lastRenderedPageBreak/>
              <w:t>permitirse tener una determinada tasa de morosidad siempre que la rentabilidad de su cartera le proporcione un beneficio después de deducidos los impagados.</w:t>
            </w:r>
          </w:p>
        </w:tc>
      </w:tr>
      <w:tr w:rsidR="00547F50" w:rsidRPr="00FF71CD" w:rsidTr="00547F50">
        <w:tc>
          <w:tcPr>
            <w:tcW w:w="1794" w:type="dxa"/>
          </w:tcPr>
          <w:p w:rsidR="009D1ED2" w:rsidRPr="00FF71CD" w:rsidRDefault="009D1ED2" w:rsidP="00B16D14">
            <w:pPr>
              <w:rPr>
                <w:sz w:val="22"/>
                <w:szCs w:val="19"/>
              </w:rPr>
            </w:pPr>
            <w:r w:rsidRPr="00FF71CD">
              <w:rPr>
                <w:sz w:val="22"/>
                <w:szCs w:val="19"/>
              </w:rPr>
              <w:lastRenderedPageBreak/>
              <w:t>Rendimiento de cartera – REN_CAR</w:t>
            </w:r>
            <w:r w:rsidR="00F96A4C" w:rsidRPr="00FF71CD">
              <w:rPr>
                <w:sz w:val="22"/>
                <w:szCs w:val="19"/>
              </w:rPr>
              <w:t xml:space="preserve"> </w:t>
            </w:r>
            <w:r w:rsidR="00F96A4C" w:rsidRPr="00FF71CD">
              <w:rPr>
                <w:b/>
                <w:sz w:val="22"/>
                <w:szCs w:val="19"/>
              </w:rPr>
              <w:t>(X</w:t>
            </w:r>
            <w:r w:rsidR="00F96A4C" w:rsidRPr="00FF71CD">
              <w:rPr>
                <w:b/>
                <w:sz w:val="22"/>
                <w:szCs w:val="19"/>
                <w:vertAlign w:val="subscript"/>
              </w:rPr>
              <w:t>5</w:t>
            </w:r>
            <w:r w:rsidR="00F96A4C" w:rsidRPr="00FF71CD">
              <w:rPr>
                <w:b/>
                <w:sz w:val="22"/>
                <w:szCs w:val="19"/>
              </w:rPr>
              <w:t>)</w:t>
            </w:r>
          </w:p>
        </w:tc>
        <w:tc>
          <w:tcPr>
            <w:tcW w:w="1178" w:type="dxa"/>
          </w:tcPr>
          <w:p w:rsidR="009D1ED2" w:rsidRPr="00FF71CD" w:rsidRDefault="009D1ED2" w:rsidP="00B16D14">
            <w:pPr>
              <w:rPr>
                <w:sz w:val="22"/>
                <w:szCs w:val="19"/>
              </w:rPr>
            </w:pPr>
            <w:r w:rsidRPr="00FF71CD">
              <w:rPr>
                <w:sz w:val="22"/>
                <w:szCs w:val="19"/>
              </w:rPr>
              <w:t>REN_CAR =</w:t>
            </w:r>
          </w:p>
          <w:p w:rsidR="009D1ED2" w:rsidRPr="00FF71CD" w:rsidRDefault="00547F50" w:rsidP="00B16D14">
            <w:pPr>
              <w:rPr>
                <w:sz w:val="22"/>
                <w:szCs w:val="19"/>
              </w:rPr>
            </w:pPr>
            <w:r w:rsidRPr="00FF71CD">
              <w:rPr>
                <w:sz w:val="22"/>
                <w:szCs w:val="19"/>
              </w:rPr>
              <w:t>Ingreso</w:t>
            </w:r>
            <w:r w:rsidR="009D1ED2" w:rsidRPr="00FF71CD">
              <w:rPr>
                <w:sz w:val="22"/>
                <w:szCs w:val="19"/>
              </w:rPr>
              <w:t>s / Activos Rentables</w:t>
            </w:r>
          </w:p>
        </w:tc>
        <w:tc>
          <w:tcPr>
            <w:tcW w:w="5812" w:type="dxa"/>
          </w:tcPr>
          <w:p w:rsidR="009D1ED2" w:rsidRPr="00FF71CD" w:rsidRDefault="009D1ED2" w:rsidP="00B16D14">
            <w:pPr>
              <w:rPr>
                <w:sz w:val="22"/>
                <w:szCs w:val="19"/>
              </w:rPr>
            </w:pPr>
            <w:r w:rsidRPr="00FF71CD">
              <w:rPr>
                <w:sz w:val="22"/>
                <w:szCs w:val="19"/>
              </w:rPr>
              <w:t xml:space="preserve">El rendimiento de la cartera cuantifica los montos que el banco realmente recibió de sus clientes por el pago de intereses en efectivo durante el periodo. Según </w:t>
            </w:r>
            <w:proofErr w:type="spellStart"/>
            <w:r w:rsidRPr="00FF71CD">
              <w:rPr>
                <w:sz w:val="22"/>
                <w:szCs w:val="19"/>
              </w:rPr>
              <w:t>Microrate</w:t>
            </w:r>
            <w:proofErr w:type="spellEnd"/>
            <w:r w:rsidRPr="00FF71CD">
              <w:rPr>
                <w:sz w:val="22"/>
                <w:szCs w:val="19"/>
              </w:rPr>
              <w:t xml:space="preserve"> (2014) este indicador es fuertemente afectado por la competencia y el tamaño del crédito, en mercados donde la competencia entre las entidades bancarias es baja, el rendimiento de cartera tiende a ser alto.    </w:t>
            </w:r>
          </w:p>
        </w:tc>
      </w:tr>
      <w:tr w:rsidR="00547F50" w:rsidRPr="00FF71CD" w:rsidTr="00547F50">
        <w:tc>
          <w:tcPr>
            <w:tcW w:w="1794" w:type="dxa"/>
          </w:tcPr>
          <w:p w:rsidR="009D1ED2" w:rsidRPr="00FF71CD" w:rsidRDefault="009D1ED2" w:rsidP="00B16D14">
            <w:pPr>
              <w:rPr>
                <w:sz w:val="22"/>
                <w:szCs w:val="19"/>
              </w:rPr>
            </w:pPr>
            <w:r w:rsidRPr="00FF71CD">
              <w:rPr>
                <w:sz w:val="22"/>
                <w:szCs w:val="19"/>
              </w:rPr>
              <w:t>Indicador de Gobierno Corporativo – IGBC</w:t>
            </w:r>
            <w:r w:rsidR="00F96A4C" w:rsidRPr="00FF71CD">
              <w:rPr>
                <w:sz w:val="22"/>
                <w:szCs w:val="19"/>
              </w:rPr>
              <w:t xml:space="preserve"> </w:t>
            </w:r>
            <w:r w:rsidR="00F96A4C" w:rsidRPr="00FF71CD">
              <w:rPr>
                <w:b/>
                <w:sz w:val="22"/>
                <w:szCs w:val="19"/>
              </w:rPr>
              <w:t>(X</w:t>
            </w:r>
            <w:r w:rsidR="00F96A4C" w:rsidRPr="00FF71CD">
              <w:rPr>
                <w:b/>
                <w:sz w:val="22"/>
                <w:szCs w:val="19"/>
                <w:vertAlign w:val="subscript"/>
              </w:rPr>
              <w:t>6</w:t>
            </w:r>
            <w:r w:rsidR="00F96A4C" w:rsidRPr="00FF71CD">
              <w:rPr>
                <w:b/>
                <w:sz w:val="22"/>
                <w:szCs w:val="19"/>
              </w:rPr>
              <w:t>)</w:t>
            </w:r>
          </w:p>
        </w:tc>
        <w:tc>
          <w:tcPr>
            <w:tcW w:w="1178" w:type="dxa"/>
          </w:tcPr>
          <w:p w:rsidR="009D1ED2" w:rsidRPr="00FF71CD" w:rsidRDefault="009D1ED2" w:rsidP="00B16D14">
            <w:pPr>
              <w:rPr>
                <w:sz w:val="22"/>
                <w:szCs w:val="19"/>
              </w:rPr>
            </w:pPr>
            <w:r w:rsidRPr="00FF71CD">
              <w:rPr>
                <w:sz w:val="22"/>
                <w:szCs w:val="19"/>
              </w:rPr>
              <w:t>0 = No incorporada al IBGC</w:t>
            </w:r>
          </w:p>
          <w:p w:rsidR="009D1ED2" w:rsidRPr="00FF71CD" w:rsidRDefault="009D1ED2" w:rsidP="00B16D14">
            <w:pPr>
              <w:rPr>
                <w:sz w:val="22"/>
                <w:szCs w:val="19"/>
              </w:rPr>
            </w:pPr>
            <w:r w:rsidRPr="00FF71CD">
              <w:rPr>
                <w:sz w:val="22"/>
                <w:szCs w:val="19"/>
              </w:rPr>
              <w:t>1 = Incorporada al IBGC</w:t>
            </w:r>
          </w:p>
        </w:tc>
        <w:tc>
          <w:tcPr>
            <w:tcW w:w="5812" w:type="dxa"/>
          </w:tcPr>
          <w:p w:rsidR="009D1ED2" w:rsidRPr="00FF71CD" w:rsidRDefault="009D1ED2" w:rsidP="00B16D14">
            <w:pPr>
              <w:rPr>
                <w:sz w:val="22"/>
                <w:szCs w:val="19"/>
              </w:rPr>
            </w:pPr>
            <w:r w:rsidRPr="00FF71CD">
              <w:rPr>
                <w:sz w:val="22"/>
                <w:szCs w:val="19"/>
              </w:rPr>
              <w:t xml:space="preserve">Este indicador nos muestra las empresas del sector bancario </w:t>
            </w:r>
            <w:r w:rsidR="003E559A" w:rsidRPr="00FF71CD">
              <w:rPr>
                <w:sz w:val="22"/>
                <w:szCs w:val="19"/>
              </w:rPr>
              <w:t xml:space="preserve">que cuentan o no con buenas prácticas de gobierno corporativo en función a su incorporación al ranking de Merco Perú en la sección </w:t>
            </w:r>
            <w:r w:rsidRPr="00FF71CD">
              <w:rPr>
                <w:sz w:val="22"/>
                <w:szCs w:val="19"/>
              </w:rPr>
              <w:t>de Gobierno Corporativo</w:t>
            </w:r>
            <w:r w:rsidR="00210710">
              <w:rPr>
                <w:sz w:val="22"/>
                <w:szCs w:val="19"/>
              </w:rPr>
              <w:t xml:space="preserve">. </w:t>
            </w:r>
          </w:p>
        </w:tc>
      </w:tr>
    </w:tbl>
    <w:p w:rsidR="00547F50" w:rsidRPr="00985667" w:rsidRDefault="00753D99" w:rsidP="000369C7">
      <w:pPr>
        <w:rPr>
          <w:sz w:val="20"/>
          <w:szCs w:val="20"/>
        </w:rPr>
      </w:pPr>
      <w:r w:rsidRPr="00985667">
        <w:rPr>
          <w:sz w:val="20"/>
          <w:szCs w:val="20"/>
        </w:rPr>
        <w:t xml:space="preserve">Fuente: Adaptado de </w:t>
      </w:r>
      <w:proofErr w:type="spellStart"/>
      <w:r w:rsidRPr="00985667">
        <w:rPr>
          <w:sz w:val="20"/>
          <w:szCs w:val="20"/>
        </w:rPr>
        <w:t>Dendawijaya</w:t>
      </w:r>
      <w:proofErr w:type="spellEnd"/>
      <w:r w:rsidRPr="00985667">
        <w:rPr>
          <w:sz w:val="20"/>
          <w:szCs w:val="20"/>
        </w:rPr>
        <w:t xml:space="preserve"> (2003); </w:t>
      </w:r>
      <w:proofErr w:type="spellStart"/>
      <w:r w:rsidRPr="00985667">
        <w:rPr>
          <w:sz w:val="20"/>
          <w:szCs w:val="20"/>
        </w:rPr>
        <w:t>Lestari</w:t>
      </w:r>
      <w:proofErr w:type="spellEnd"/>
      <w:r w:rsidRPr="00985667">
        <w:rPr>
          <w:sz w:val="20"/>
          <w:szCs w:val="20"/>
        </w:rPr>
        <w:t xml:space="preserve"> y </w:t>
      </w:r>
      <w:proofErr w:type="spellStart"/>
      <w:r w:rsidRPr="00985667">
        <w:rPr>
          <w:sz w:val="20"/>
          <w:szCs w:val="20"/>
        </w:rPr>
        <w:t>Sugiharto</w:t>
      </w:r>
      <w:proofErr w:type="spellEnd"/>
      <w:r w:rsidRPr="00985667">
        <w:rPr>
          <w:sz w:val="20"/>
          <w:szCs w:val="20"/>
        </w:rPr>
        <w:t xml:space="preserve"> (2007); </w:t>
      </w:r>
      <w:proofErr w:type="spellStart"/>
      <w:r w:rsidRPr="00985667">
        <w:rPr>
          <w:sz w:val="20"/>
          <w:szCs w:val="20"/>
        </w:rPr>
        <w:t>Mardiyanto</w:t>
      </w:r>
      <w:proofErr w:type="spellEnd"/>
      <w:r w:rsidRPr="00985667">
        <w:rPr>
          <w:sz w:val="20"/>
          <w:szCs w:val="20"/>
        </w:rPr>
        <w:t xml:space="preserve"> (2009); </w:t>
      </w:r>
      <w:proofErr w:type="spellStart"/>
      <w:r w:rsidRPr="00985667">
        <w:rPr>
          <w:sz w:val="20"/>
          <w:szCs w:val="20"/>
        </w:rPr>
        <w:t>Rinati</w:t>
      </w:r>
      <w:proofErr w:type="spellEnd"/>
      <w:r w:rsidRPr="00985667">
        <w:rPr>
          <w:sz w:val="20"/>
          <w:szCs w:val="20"/>
        </w:rPr>
        <w:t xml:space="preserve"> (2012), </w:t>
      </w:r>
      <w:proofErr w:type="spellStart"/>
      <w:r w:rsidRPr="00985667">
        <w:rPr>
          <w:sz w:val="20"/>
          <w:szCs w:val="20"/>
        </w:rPr>
        <w:t>Modigliani</w:t>
      </w:r>
      <w:proofErr w:type="spellEnd"/>
      <w:r w:rsidRPr="00985667">
        <w:rPr>
          <w:sz w:val="20"/>
          <w:szCs w:val="20"/>
        </w:rPr>
        <w:t xml:space="preserve"> y Miller (1958); Jensen (1986); </w:t>
      </w:r>
      <w:proofErr w:type="spellStart"/>
      <w:r w:rsidRPr="00985667">
        <w:rPr>
          <w:sz w:val="20"/>
          <w:szCs w:val="20"/>
        </w:rPr>
        <w:t>Microrate</w:t>
      </w:r>
      <w:proofErr w:type="spellEnd"/>
      <w:r w:rsidRPr="00985667">
        <w:rPr>
          <w:sz w:val="20"/>
          <w:szCs w:val="20"/>
        </w:rPr>
        <w:t xml:space="preserve"> (2014); </w:t>
      </w:r>
      <w:proofErr w:type="spellStart"/>
      <w:r w:rsidRPr="00985667">
        <w:rPr>
          <w:sz w:val="20"/>
          <w:szCs w:val="20"/>
        </w:rPr>
        <w:t>Bernejo</w:t>
      </w:r>
      <w:proofErr w:type="spellEnd"/>
      <w:r w:rsidRPr="00985667">
        <w:rPr>
          <w:sz w:val="20"/>
          <w:szCs w:val="20"/>
        </w:rPr>
        <w:t xml:space="preserve"> y Fernández (2004); López y Sebastián (2008)</w:t>
      </w:r>
      <w:r w:rsidR="00445B75" w:rsidRPr="00985667">
        <w:rPr>
          <w:sz w:val="20"/>
          <w:szCs w:val="20"/>
        </w:rPr>
        <w:t xml:space="preserve">; Hutchinson, </w:t>
      </w:r>
      <w:proofErr w:type="spellStart"/>
      <w:r w:rsidR="00445B75" w:rsidRPr="00985667">
        <w:rPr>
          <w:sz w:val="20"/>
          <w:szCs w:val="20"/>
        </w:rPr>
        <w:t>Seamer</w:t>
      </w:r>
      <w:proofErr w:type="spellEnd"/>
      <w:r w:rsidR="00445B75" w:rsidRPr="00985667">
        <w:rPr>
          <w:sz w:val="20"/>
          <w:szCs w:val="20"/>
        </w:rPr>
        <w:t xml:space="preserve"> y </w:t>
      </w:r>
      <w:proofErr w:type="spellStart"/>
      <w:r w:rsidR="00445B75" w:rsidRPr="00985667">
        <w:rPr>
          <w:sz w:val="20"/>
          <w:szCs w:val="20"/>
        </w:rPr>
        <w:t>Chapple</w:t>
      </w:r>
      <w:proofErr w:type="spellEnd"/>
      <w:r w:rsidR="00445B75" w:rsidRPr="00985667">
        <w:rPr>
          <w:sz w:val="20"/>
          <w:szCs w:val="20"/>
        </w:rPr>
        <w:t xml:space="preserve"> (2015)</w:t>
      </w:r>
      <w:r w:rsidR="00985667" w:rsidRPr="00985667">
        <w:rPr>
          <w:sz w:val="20"/>
          <w:szCs w:val="20"/>
        </w:rPr>
        <w:t xml:space="preserve">; </w:t>
      </w:r>
      <w:proofErr w:type="spellStart"/>
      <w:r w:rsidR="00985667" w:rsidRPr="00985667">
        <w:rPr>
          <w:sz w:val="20"/>
          <w:szCs w:val="20"/>
        </w:rPr>
        <w:t>Twairesh</w:t>
      </w:r>
      <w:proofErr w:type="spellEnd"/>
      <w:r w:rsidR="00985667" w:rsidRPr="00985667">
        <w:rPr>
          <w:sz w:val="20"/>
          <w:szCs w:val="20"/>
        </w:rPr>
        <w:t xml:space="preserve"> (2014), </w:t>
      </w:r>
      <w:proofErr w:type="spellStart"/>
      <w:r w:rsidR="00985667" w:rsidRPr="00985667">
        <w:rPr>
          <w:sz w:val="20"/>
          <w:szCs w:val="20"/>
        </w:rPr>
        <w:t>Goyal</w:t>
      </w:r>
      <w:proofErr w:type="spellEnd"/>
      <w:r w:rsidR="00985667" w:rsidRPr="00985667">
        <w:rPr>
          <w:sz w:val="20"/>
          <w:szCs w:val="20"/>
        </w:rPr>
        <w:t xml:space="preserve"> (2013), Gill, </w:t>
      </w:r>
      <w:proofErr w:type="spellStart"/>
      <w:r w:rsidR="00985667" w:rsidRPr="00985667">
        <w:rPr>
          <w:sz w:val="20"/>
          <w:szCs w:val="20"/>
        </w:rPr>
        <w:t>Biger</w:t>
      </w:r>
      <w:proofErr w:type="spellEnd"/>
      <w:r w:rsidR="00985667" w:rsidRPr="00985667">
        <w:rPr>
          <w:sz w:val="20"/>
          <w:szCs w:val="20"/>
        </w:rPr>
        <w:t xml:space="preserve"> y </w:t>
      </w:r>
      <w:proofErr w:type="spellStart"/>
      <w:r w:rsidR="00985667" w:rsidRPr="00985667">
        <w:rPr>
          <w:sz w:val="20"/>
          <w:szCs w:val="20"/>
        </w:rPr>
        <w:t>Mathur</w:t>
      </w:r>
      <w:proofErr w:type="spellEnd"/>
      <w:r w:rsidR="00985667" w:rsidRPr="00985667">
        <w:rPr>
          <w:sz w:val="20"/>
          <w:szCs w:val="20"/>
        </w:rPr>
        <w:t xml:space="preserve"> (2011), </w:t>
      </w:r>
      <w:proofErr w:type="spellStart"/>
      <w:r w:rsidR="00985667" w:rsidRPr="00985667">
        <w:rPr>
          <w:sz w:val="20"/>
          <w:szCs w:val="20"/>
        </w:rPr>
        <w:t>Ramachaday</w:t>
      </w:r>
      <w:proofErr w:type="spellEnd"/>
      <w:r w:rsidR="00985667" w:rsidRPr="00985667">
        <w:rPr>
          <w:sz w:val="20"/>
          <w:szCs w:val="20"/>
        </w:rPr>
        <w:t xml:space="preserve"> y </w:t>
      </w:r>
      <w:proofErr w:type="spellStart"/>
      <w:r w:rsidR="00985667" w:rsidRPr="00985667">
        <w:rPr>
          <w:sz w:val="20"/>
          <w:szCs w:val="20"/>
        </w:rPr>
        <w:t>Candasamy</w:t>
      </w:r>
      <w:proofErr w:type="spellEnd"/>
      <w:r w:rsidR="00985667" w:rsidRPr="00985667">
        <w:rPr>
          <w:sz w:val="20"/>
          <w:szCs w:val="20"/>
        </w:rPr>
        <w:t xml:space="preserve"> (2011); </w:t>
      </w:r>
      <w:proofErr w:type="spellStart"/>
      <w:r w:rsidR="00985667" w:rsidRPr="00985667">
        <w:rPr>
          <w:sz w:val="20"/>
          <w:szCs w:val="20"/>
        </w:rPr>
        <w:t>Pouraghajan</w:t>
      </w:r>
      <w:proofErr w:type="spellEnd"/>
      <w:r w:rsidR="00985667" w:rsidRPr="00985667">
        <w:rPr>
          <w:sz w:val="20"/>
          <w:szCs w:val="20"/>
        </w:rPr>
        <w:t xml:space="preserve"> y </w:t>
      </w:r>
      <w:proofErr w:type="spellStart"/>
      <w:r w:rsidR="00985667" w:rsidRPr="00985667">
        <w:rPr>
          <w:sz w:val="20"/>
          <w:szCs w:val="20"/>
        </w:rPr>
        <w:t>Malekian</w:t>
      </w:r>
      <w:proofErr w:type="spellEnd"/>
      <w:r w:rsidR="00985667" w:rsidRPr="00985667">
        <w:rPr>
          <w:sz w:val="20"/>
          <w:szCs w:val="20"/>
        </w:rPr>
        <w:t xml:space="preserve"> (2012); </w:t>
      </w:r>
      <w:proofErr w:type="spellStart"/>
      <w:r w:rsidR="00985667" w:rsidRPr="00985667">
        <w:rPr>
          <w:sz w:val="20"/>
          <w:szCs w:val="20"/>
        </w:rPr>
        <w:t>Olokoyo</w:t>
      </w:r>
      <w:proofErr w:type="spellEnd"/>
      <w:r w:rsidR="00985667" w:rsidRPr="00985667">
        <w:rPr>
          <w:sz w:val="20"/>
          <w:szCs w:val="20"/>
        </w:rPr>
        <w:t xml:space="preserve"> (2013), </w:t>
      </w:r>
      <w:proofErr w:type="spellStart"/>
      <w:r w:rsidR="00985667" w:rsidRPr="00985667">
        <w:rPr>
          <w:sz w:val="20"/>
          <w:szCs w:val="20"/>
        </w:rPr>
        <w:t>Quang</w:t>
      </w:r>
      <w:proofErr w:type="spellEnd"/>
      <w:r w:rsidR="00985667" w:rsidRPr="00985667">
        <w:rPr>
          <w:sz w:val="20"/>
          <w:szCs w:val="20"/>
        </w:rPr>
        <w:t xml:space="preserve"> y </w:t>
      </w:r>
      <w:proofErr w:type="spellStart"/>
      <w:r w:rsidR="00985667" w:rsidRPr="00985667">
        <w:rPr>
          <w:sz w:val="20"/>
          <w:szCs w:val="20"/>
        </w:rPr>
        <w:t>Xin</w:t>
      </w:r>
      <w:proofErr w:type="spellEnd"/>
      <w:r w:rsidR="00985667" w:rsidRPr="00985667">
        <w:rPr>
          <w:sz w:val="20"/>
          <w:szCs w:val="20"/>
        </w:rPr>
        <w:t xml:space="preserve"> (2014), </w:t>
      </w:r>
      <w:proofErr w:type="spellStart"/>
      <w:r w:rsidR="00985667" w:rsidRPr="00985667">
        <w:rPr>
          <w:sz w:val="20"/>
          <w:szCs w:val="20"/>
        </w:rPr>
        <w:t>Mireku</w:t>
      </w:r>
      <w:proofErr w:type="spellEnd"/>
      <w:r w:rsidR="00985667" w:rsidRPr="00985667">
        <w:rPr>
          <w:sz w:val="20"/>
          <w:szCs w:val="20"/>
        </w:rPr>
        <w:t xml:space="preserve">, </w:t>
      </w:r>
      <w:proofErr w:type="spellStart"/>
      <w:r w:rsidR="00985667" w:rsidRPr="00985667">
        <w:rPr>
          <w:sz w:val="20"/>
          <w:szCs w:val="20"/>
        </w:rPr>
        <w:t>Mensah</w:t>
      </w:r>
      <w:proofErr w:type="spellEnd"/>
      <w:r w:rsidR="00985667" w:rsidRPr="00985667">
        <w:rPr>
          <w:sz w:val="20"/>
          <w:szCs w:val="20"/>
        </w:rPr>
        <w:t xml:space="preserve"> y </w:t>
      </w:r>
      <w:proofErr w:type="spellStart"/>
      <w:r w:rsidR="00985667" w:rsidRPr="00985667">
        <w:rPr>
          <w:sz w:val="20"/>
          <w:szCs w:val="20"/>
        </w:rPr>
        <w:t>Ogoe</w:t>
      </w:r>
      <w:proofErr w:type="spellEnd"/>
      <w:r w:rsidR="00985667" w:rsidRPr="00985667">
        <w:rPr>
          <w:sz w:val="20"/>
          <w:szCs w:val="20"/>
        </w:rPr>
        <w:t xml:space="preserve"> (2014); </w:t>
      </w:r>
      <w:proofErr w:type="spellStart"/>
      <w:r w:rsidR="00985667" w:rsidRPr="00985667">
        <w:rPr>
          <w:sz w:val="20"/>
          <w:szCs w:val="20"/>
        </w:rPr>
        <w:t>Chadha</w:t>
      </w:r>
      <w:proofErr w:type="spellEnd"/>
      <w:r w:rsidR="00985667" w:rsidRPr="00985667">
        <w:rPr>
          <w:sz w:val="20"/>
          <w:szCs w:val="20"/>
        </w:rPr>
        <w:t xml:space="preserve"> y </w:t>
      </w:r>
      <w:proofErr w:type="spellStart"/>
      <w:r w:rsidR="00985667" w:rsidRPr="00985667">
        <w:rPr>
          <w:sz w:val="20"/>
          <w:szCs w:val="20"/>
        </w:rPr>
        <w:t>Sharma</w:t>
      </w:r>
      <w:proofErr w:type="spellEnd"/>
      <w:r w:rsidR="00985667" w:rsidRPr="00985667">
        <w:rPr>
          <w:sz w:val="20"/>
          <w:szCs w:val="20"/>
        </w:rPr>
        <w:t xml:space="preserve"> (2017)</w:t>
      </w:r>
    </w:p>
    <w:p w:rsidR="00547F50" w:rsidRDefault="00547F50" w:rsidP="000369C7"/>
    <w:p w:rsidR="00177DE7" w:rsidRDefault="00581A31" w:rsidP="00581A31">
      <w:pPr>
        <w:pStyle w:val="Ttulo1"/>
      </w:pPr>
      <w:r>
        <w:t>Antecedentes empíricos</w:t>
      </w:r>
    </w:p>
    <w:p w:rsidR="00956579" w:rsidRDefault="00475F6E" w:rsidP="00581A31">
      <w:r w:rsidRPr="00475F6E">
        <w:t xml:space="preserve">Hasta el momento, no se han encontrado estudios correlacionales previos que pongan a prueba la relación entre el buen gobierno corporativo y el valor de los bancos peruanos listados en el Índice del Buen Gobierno Corporativo (en adelante “IBGC”). Sin embargo, </w:t>
      </w:r>
      <w:proofErr w:type="spellStart"/>
      <w:r w:rsidRPr="00475F6E">
        <w:t>Ficici</w:t>
      </w:r>
      <w:proofErr w:type="spellEnd"/>
      <w:r w:rsidRPr="00475F6E">
        <w:t xml:space="preserve"> y </w:t>
      </w:r>
      <w:proofErr w:type="spellStart"/>
      <w:r w:rsidRPr="00475F6E">
        <w:t>Aybar</w:t>
      </w:r>
      <w:proofErr w:type="spellEnd"/>
      <w:r w:rsidRPr="00475F6E">
        <w:t xml:space="preserve"> (2012), en un estudio correlacional aplicado a 54 empresas latinoamericanas emisoras de </w:t>
      </w:r>
      <w:proofErr w:type="spellStart"/>
      <w:r w:rsidRPr="00475F6E">
        <w:t>ADRs</w:t>
      </w:r>
      <w:proofErr w:type="spellEnd"/>
      <w:r w:rsidRPr="00475F6E">
        <w:t xml:space="preserve"> (American </w:t>
      </w:r>
      <w:proofErr w:type="spellStart"/>
      <w:r w:rsidRPr="00475F6E">
        <w:t>Depositary</w:t>
      </w:r>
      <w:proofErr w:type="spellEnd"/>
      <w:r w:rsidRPr="00475F6E">
        <w:t xml:space="preserve"> </w:t>
      </w:r>
      <w:proofErr w:type="spellStart"/>
      <w:r w:rsidRPr="00475F6E">
        <w:t>Receipts</w:t>
      </w:r>
      <w:proofErr w:type="spellEnd"/>
      <w:r w:rsidRPr="00475F6E">
        <w:t>), mencionan que</w:t>
      </w:r>
      <w:r w:rsidR="00AA04EA">
        <w:t>,</w:t>
      </w:r>
      <w:r w:rsidRPr="00475F6E">
        <w:t xml:space="preserve"> efectivamente</w:t>
      </w:r>
      <w:r w:rsidR="00AA04EA">
        <w:t>,</w:t>
      </w:r>
      <w:r w:rsidRPr="00475F6E">
        <w:t xml:space="preserve"> existe una relación entre la estructura de gobierno corporativo de las empresas de mercados emergentes y su desempeño o valor en el mercado de valores. Asimismo, un estudio realizado a empresas latinoamericanas, puso a prueba la relación entre variables de gobierno corporativo y el valor de las firmas. </w:t>
      </w:r>
    </w:p>
    <w:p w:rsidR="00956579" w:rsidRDefault="00956579" w:rsidP="00581A31"/>
    <w:p w:rsidR="00D1383A" w:rsidRDefault="00475F6E" w:rsidP="00581A31">
      <w:r w:rsidRPr="00475F6E">
        <w:t>Los resultados indican que las variables de concentración de la propiedad, estructura de capital y política de dividendos son conductores significativos para el valor de mercado de las em</w:t>
      </w:r>
      <w:r w:rsidR="00143008">
        <w:t>presas (Saona y San Martín, 2016</w:t>
      </w:r>
      <w:r w:rsidRPr="00475F6E">
        <w:t xml:space="preserve">). Alejándonos un poco del contexto latinoamericano, una investigación neozelandesa aplicada a las 50 mejores empresas listadas en la Bolsa de Valores de Nueva Zelanda (NSX) indican que la aplicación de los principios de la Comisión de Valores de Nueva Zelanda; como establecer comités de auditoría y remuneraciones, así como la composición de directores (tamaño y dependencia a la organización); se encuentran alineados positivamente con el desempeño y valor de la empresa, medidos a través del ratio Q de </w:t>
      </w:r>
      <w:proofErr w:type="spellStart"/>
      <w:r w:rsidRPr="00475F6E">
        <w:t>Tobin</w:t>
      </w:r>
      <w:proofErr w:type="spellEnd"/>
      <w:r w:rsidRPr="00475F6E">
        <w:t>, el ratio MB (</w:t>
      </w:r>
      <w:proofErr w:type="spellStart"/>
      <w:r w:rsidRPr="00475F6E">
        <w:t>Market</w:t>
      </w:r>
      <w:proofErr w:type="spellEnd"/>
      <w:r w:rsidRPr="00475F6E">
        <w:t>-to-Book) y el ROA (</w:t>
      </w:r>
      <w:proofErr w:type="spellStart"/>
      <w:r w:rsidRPr="00475F6E">
        <w:t>Reddy</w:t>
      </w:r>
      <w:proofErr w:type="spellEnd"/>
      <w:r w:rsidRPr="00475F6E">
        <w:t xml:space="preserve">, Locke, y </w:t>
      </w:r>
      <w:proofErr w:type="spellStart"/>
      <w:r w:rsidRPr="00475F6E">
        <w:t>Scrimgeour</w:t>
      </w:r>
      <w:proofErr w:type="spellEnd"/>
      <w:r w:rsidRPr="00475F6E">
        <w:t xml:space="preserve">, 2010).  </w:t>
      </w:r>
    </w:p>
    <w:p w:rsidR="00D1383A" w:rsidRDefault="00D1383A" w:rsidP="00581A31"/>
    <w:p w:rsidR="00D1383A" w:rsidRDefault="00475F6E" w:rsidP="00581A31">
      <w:r w:rsidRPr="00475F6E">
        <w:lastRenderedPageBreak/>
        <w:t>Por  otro lado, un estudio realizado al sector bancario en Sri Lanka, a través de la medición de indicadores como el ROA y ROE, reveló una relación negativa entre el ROE y la diversidad del directorio—cuya relación con el ROA también es negativa—y la frecuencia de reuniones del directorio. Otras variables, como el tamaño del directorio y el porcentaje de directores independientes se encontraban positivamente correlacionadas con el ROE y ROA (</w:t>
      </w:r>
      <w:proofErr w:type="spellStart"/>
      <w:r w:rsidRPr="00475F6E">
        <w:t>Ajanthan</w:t>
      </w:r>
      <w:proofErr w:type="spellEnd"/>
      <w:r w:rsidRPr="00475F6E">
        <w:t xml:space="preserve">, </w:t>
      </w:r>
      <w:proofErr w:type="spellStart"/>
      <w:r w:rsidRPr="00475F6E">
        <w:t>Balap</w:t>
      </w:r>
      <w:r w:rsidR="00D1383A">
        <w:t>uthiran</w:t>
      </w:r>
      <w:proofErr w:type="spellEnd"/>
      <w:r w:rsidR="00D1383A">
        <w:t xml:space="preserve"> y </w:t>
      </w:r>
      <w:proofErr w:type="spellStart"/>
      <w:r w:rsidR="00D1383A">
        <w:t>Nimalathashan</w:t>
      </w:r>
      <w:proofErr w:type="spellEnd"/>
      <w:r w:rsidR="00D1383A">
        <w:t>, 2013).</w:t>
      </w:r>
    </w:p>
    <w:p w:rsidR="00D1383A" w:rsidRDefault="00D1383A" w:rsidP="00581A31"/>
    <w:p w:rsidR="00956B0D" w:rsidRDefault="00475F6E" w:rsidP="00581A31">
      <w:r w:rsidRPr="00475F6E">
        <w:t>Otro estudio realizado en Nigeria, aplicado a cinco bancos del país y con data secundaria, probó una relación negativa entre la utilidad después de impuestos y la composición del directorio, mientras que la aplicación de prácticas de buen gobierno corporativo mostró una relación positiva con el desempeño de la empresa (</w:t>
      </w:r>
      <w:proofErr w:type="spellStart"/>
      <w:r w:rsidRPr="00475F6E">
        <w:t>Babatunde</w:t>
      </w:r>
      <w:proofErr w:type="spellEnd"/>
      <w:r w:rsidRPr="00475F6E">
        <w:t xml:space="preserve">, </w:t>
      </w:r>
      <w:proofErr w:type="spellStart"/>
      <w:r w:rsidRPr="00475F6E">
        <w:t>Awoyemi</w:t>
      </w:r>
      <w:proofErr w:type="spellEnd"/>
      <w:r w:rsidRPr="00475F6E">
        <w:t xml:space="preserve"> </w:t>
      </w:r>
      <w:proofErr w:type="spellStart"/>
      <w:r w:rsidRPr="00475F6E">
        <w:t>Olanike</w:t>
      </w:r>
      <w:proofErr w:type="spellEnd"/>
      <w:r w:rsidRPr="00475F6E">
        <w:t xml:space="preserve">, </w:t>
      </w:r>
      <w:proofErr w:type="spellStart"/>
      <w:r w:rsidRPr="00475F6E">
        <w:t>Atsuwa</w:t>
      </w:r>
      <w:proofErr w:type="spellEnd"/>
      <w:r w:rsidRPr="00475F6E">
        <w:t xml:space="preserve"> y </w:t>
      </w:r>
      <w:proofErr w:type="spellStart"/>
      <w:r w:rsidRPr="00475F6E">
        <w:t>Akomolafe</w:t>
      </w:r>
      <w:proofErr w:type="spellEnd"/>
      <w:r w:rsidRPr="00475F6E">
        <w:t>, 2017).</w:t>
      </w:r>
      <w:r w:rsidR="001916D0">
        <w:t xml:space="preserve"> </w:t>
      </w:r>
      <w:r w:rsidR="001E3F13">
        <w:t xml:space="preserve">Un estudio </w:t>
      </w:r>
      <w:r w:rsidR="001E3F13" w:rsidRPr="001E3F13">
        <w:t xml:space="preserve">respecto a los antecedentes de la gobernanza </w:t>
      </w:r>
      <w:r w:rsidR="001E3F13">
        <w:t>del tipo de la OCDE en Vietnam, encuentra</w:t>
      </w:r>
      <w:r w:rsidR="001E3F13" w:rsidRPr="001E3F13">
        <w:t xml:space="preserve"> que las empresas con accionistas extranjeros y empresas más jóvenes adoptan </w:t>
      </w:r>
      <w:r w:rsidR="001E3F13">
        <w:t>dichos principios de gobernanza; señala además que l</w:t>
      </w:r>
      <w:r w:rsidR="001E3F13" w:rsidRPr="001E3F13">
        <w:t>a adopción de principios de gobierno más estrictos, especialmente en términos de la independe</w:t>
      </w:r>
      <w:r w:rsidR="001E3F13">
        <w:t>ncia de la junta de supervisión o</w:t>
      </w:r>
      <w:r w:rsidR="001E3F13" w:rsidRPr="001E3F13">
        <w:t xml:space="preserve"> el nombramiento de directores con múltiples puestos de director</w:t>
      </w:r>
      <w:r w:rsidR="001E3F13">
        <w:t>,</w:t>
      </w:r>
      <w:r w:rsidR="001E3F13" w:rsidRPr="001E3F13">
        <w:t xml:space="preserve"> son beneficiosos para el</w:t>
      </w:r>
      <w:r w:rsidR="001E3F13">
        <w:t xml:space="preserve"> valor de la empresa en una OPI (</w:t>
      </w:r>
      <w:proofErr w:type="spellStart"/>
      <w:r w:rsidR="001E3F13">
        <w:t>Ngo</w:t>
      </w:r>
      <w:proofErr w:type="spellEnd"/>
      <w:r w:rsidR="001E3F13">
        <w:t xml:space="preserve">, </w:t>
      </w:r>
      <w:proofErr w:type="spellStart"/>
      <w:r w:rsidR="001E3F13">
        <w:t>Jorissen</w:t>
      </w:r>
      <w:proofErr w:type="spellEnd"/>
      <w:r w:rsidR="001E3F13">
        <w:t xml:space="preserve"> y </w:t>
      </w:r>
      <w:proofErr w:type="spellStart"/>
      <w:r w:rsidR="001E3F13">
        <w:t>Nonneman</w:t>
      </w:r>
      <w:proofErr w:type="spellEnd"/>
      <w:r w:rsidR="001E3F13">
        <w:t xml:space="preserve">, 2017). </w:t>
      </w:r>
    </w:p>
    <w:p w:rsidR="00D1383A" w:rsidRDefault="00D1383A" w:rsidP="00581A31"/>
    <w:p w:rsidR="00956B0D" w:rsidRDefault="00956B0D" w:rsidP="00956B0D">
      <w:pPr>
        <w:pStyle w:val="Ttulo1"/>
      </w:pPr>
      <w:r>
        <w:t xml:space="preserve">Metodología </w:t>
      </w:r>
    </w:p>
    <w:p w:rsidR="00956B0D" w:rsidRDefault="00956B0D" w:rsidP="00956B0D">
      <w:pPr>
        <w:pStyle w:val="Ttulo2"/>
      </w:pPr>
      <w:r>
        <w:t>Diseño de investigación</w:t>
      </w:r>
    </w:p>
    <w:p w:rsidR="00956B0D" w:rsidRDefault="00956B0D" w:rsidP="00956B0D">
      <w:r w:rsidRPr="00956B0D">
        <w:t>Este es</w:t>
      </w:r>
      <w:r w:rsidR="007B06DF">
        <w:t>tudio es de tipo correlacional-t</w:t>
      </w:r>
      <w:r w:rsidRPr="00956B0D">
        <w:t xml:space="preserve">ransversal, ya que según </w:t>
      </w:r>
      <w:proofErr w:type="spellStart"/>
      <w:r w:rsidRPr="00956B0D">
        <w:t>Cazau</w:t>
      </w:r>
      <w:proofErr w:type="spellEnd"/>
      <w:r w:rsidRPr="00956B0D">
        <w:t xml:space="preserve"> (2006)</w:t>
      </w:r>
      <w:r w:rsidR="00BD76A3">
        <w:t xml:space="preserve"> y Hernández </w:t>
      </w:r>
      <w:proofErr w:type="spellStart"/>
      <w:r w:rsidR="00BD76A3">
        <w:t>Sampieri</w:t>
      </w:r>
      <w:proofErr w:type="spellEnd"/>
      <w:r w:rsidR="00BD76A3">
        <w:t xml:space="preserve"> (2005)</w:t>
      </w:r>
      <w:r w:rsidR="001916D0">
        <w:t>,</w:t>
      </w:r>
      <w:r w:rsidRPr="00956B0D">
        <w:t xml:space="preserve"> la investigación correlacional busca determinar cómo se relacionan los diversos fenómenos de estudio entre sí, y es transversal porque tomaremos como datos varios periodos de estas empresas en un solo año. Así mismo el propósito de esta investigación es interpretar la asociación que tiene el gobierno corporativo con el valor económico de las empresas del sector bancario peruano entre los </w:t>
      </w:r>
      <w:r w:rsidR="001916D0">
        <w:t xml:space="preserve">años desde el </w:t>
      </w:r>
      <w:r w:rsidRPr="00956B0D">
        <w:t>2011 hasta el 2016.</w:t>
      </w:r>
      <w:r w:rsidR="00A20396">
        <w:t xml:space="preserve"> La hipótesis a poner a prueba, por lo tanto, es la siguiente:</w:t>
      </w:r>
    </w:p>
    <w:p w:rsidR="001207DD" w:rsidRDefault="001207DD" w:rsidP="00956B0D"/>
    <w:p w:rsidR="00A20396" w:rsidRPr="00A20396" w:rsidRDefault="00A20396" w:rsidP="00A20396">
      <w:pPr>
        <w:tabs>
          <w:tab w:val="left" w:pos="5184"/>
        </w:tabs>
        <w:ind w:left="708"/>
        <w:rPr>
          <w:i/>
        </w:rPr>
      </w:pPr>
      <w:r w:rsidRPr="007F577C">
        <w:rPr>
          <w:i/>
        </w:rPr>
        <w:t>H1: El Gobierno</w:t>
      </w:r>
      <w:r>
        <w:rPr>
          <w:i/>
        </w:rPr>
        <w:t xml:space="preserve"> Corporativo, mediante los componentes de la Q de </w:t>
      </w:r>
      <w:proofErr w:type="spellStart"/>
      <w:r>
        <w:rPr>
          <w:i/>
        </w:rPr>
        <w:t>Tobin</w:t>
      </w:r>
      <w:proofErr w:type="spellEnd"/>
      <w:r>
        <w:rPr>
          <w:i/>
        </w:rPr>
        <w:t>, tiene relación</w:t>
      </w:r>
      <w:r w:rsidRPr="007F577C">
        <w:rPr>
          <w:i/>
        </w:rPr>
        <w:t xml:space="preserve"> con el valor económico de las empresas del sector bancario </w:t>
      </w:r>
      <w:r>
        <w:rPr>
          <w:i/>
        </w:rPr>
        <w:t>peruano</w:t>
      </w:r>
      <w:r w:rsidRPr="007F577C">
        <w:rPr>
          <w:i/>
        </w:rPr>
        <w:t xml:space="preserve"> listada</w:t>
      </w:r>
      <w:r>
        <w:rPr>
          <w:i/>
        </w:rPr>
        <w:t>s</w:t>
      </w:r>
      <w:r w:rsidRPr="007F577C">
        <w:rPr>
          <w:i/>
        </w:rPr>
        <w:t xml:space="preserve"> en la Bolsa de Valores de Lima.</w:t>
      </w:r>
    </w:p>
    <w:p w:rsidR="00956B0D" w:rsidRDefault="00956B0D" w:rsidP="00956B0D"/>
    <w:p w:rsidR="00956B0D" w:rsidRDefault="00956B0D" w:rsidP="00956B0D">
      <w:pPr>
        <w:pStyle w:val="Ttulo2"/>
      </w:pPr>
      <w:r>
        <w:t>Población y Muestra</w:t>
      </w:r>
    </w:p>
    <w:p w:rsidR="00956B0D" w:rsidRPr="007F577C" w:rsidRDefault="00956B0D" w:rsidP="00956B0D">
      <w:pPr>
        <w:tabs>
          <w:tab w:val="left" w:pos="5184"/>
        </w:tabs>
      </w:pPr>
      <w:r w:rsidRPr="007F577C">
        <w:t xml:space="preserve">La población objetivo de este estudio son las 16 empresas del sector bancario que están listadas en la Bolsa de Valores de Lima (BVL). La muestra de este trabajo de investigación será de </w:t>
      </w:r>
      <w:r w:rsidR="001916D0">
        <w:t xml:space="preserve">las </w:t>
      </w:r>
      <w:r w:rsidRPr="007F577C">
        <w:t xml:space="preserve">10 empresas más representativas del sector bancario que están listadas en la </w:t>
      </w:r>
      <w:r w:rsidR="00956579">
        <w:t>BVL entre los años 2011 – 2016.</w:t>
      </w:r>
    </w:p>
    <w:p w:rsidR="00956B0D" w:rsidRPr="00956B0D" w:rsidRDefault="00956B0D" w:rsidP="00956B0D"/>
    <w:p w:rsidR="00956B0D" w:rsidRDefault="00956B0D" w:rsidP="00956B0D">
      <w:pPr>
        <w:pStyle w:val="Ttulo3"/>
      </w:pPr>
      <w:r>
        <w:lastRenderedPageBreak/>
        <w:t>Método de muestreo</w:t>
      </w:r>
    </w:p>
    <w:p w:rsidR="00D1383A" w:rsidRDefault="00956B0D" w:rsidP="00956B0D">
      <w:pPr>
        <w:tabs>
          <w:tab w:val="left" w:pos="5184"/>
        </w:tabs>
      </w:pPr>
      <w:r w:rsidRPr="007F577C">
        <w:t xml:space="preserve">Para el logro del presente estudio de investigación se consideró solo a </w:t>
      </w:r>
      <w:r w:rsidR="00031383">
        <w:t xml:space="preserve">los </w:t>
      </w:r>
      <w:r w:rsidRPr="007F577C">
        <w:t xml:space="preserve">10 </w:t>
      </w:r>
      <w:r w:rsidR="00031383">
        <w:t>bancos</w:t>
      </w:r>
      <w:r w:rsidRPr="007F577C">
        <w:t xml:space="preserve"> más </w:t>
      </w:r>
      <w:r w:rsidR="00031383">
        <w:t>representativos</w:t>
      </w:r>
      <w:r w:rsidRPr="007F577C">
        <w:t xml:space="preserve"> </w:t>
      </w:r>
      <w:r w:rsidR="00031383">
        <w:t>listados</w:t>
      </w:r>
      <w:r w:rsidRPr="007F577C">
        <w:t xml:space="preserve"> en la </w:t>
      </w:r>
      <w:r w:rsidR="00031383">
        <w:t xml:space="preserve">BVL: </w:t>
      </w:r>
      <w:r w:rsidRPr="007F577C">
        <w:t>BBVA Continental, Banco de Crédito</w:t>
      </w:r>
      <w:r w:rsidR="009810DA">
        <w:t xml:space="preserve"> (BCP)</w:t>
      </w:r>
      <w:r w:rsidRPr="007F577C">
        <w:t xml:space="preserve">, </w:t>
      </w:r>
      <w:proofErr w:type="spellStart"/>
      <w:r w:rsidRPr="007F577C">
        <w:t>Interbank</w:t>
      </w:r>
      <w:proofErr w:type="spellEnd"/>
      <w:r w:rsidRPr="007F577C">
        <w:t xml:space="preserve">, </w:t>
      </w:r>
      <w:proofErr w:type="spellStart"/>
      <w:r w:rsidRPr="007F577C">
        <w:t>Scotiabank</w:t>
      </w:r>
      <w:proofErr w:type="spellEnd"/>
      <w:r w:rsidRPr="007F577C">
        <w:t xml:space="preserve">, Banco </w:t>
      </w:r>
      <w:r w:rsidR="009810DA">
        <w:t>Interamericano de Finanzas (</w:t>
      </w:r>
      <w:proofErr w:type="spellStart"/>
      <w:r w:rsidR="009810DA">
        <w:t>BanBif</w:t>
      </w:r>
      <w:proofErr w:type="spellEnd"/>
      <w:r w:rsidR="009810DA">
        <w:t>), Mi B</w:t>
      </w:r>
      <w:r w:rsidRPr="007F577C">
        <w:t xml:space="preserve">anco, Banco de Comercio, Banco Financiero, Banco Santander y Banco Azteca. </w:t>
      </w:r>
      <w:r w:rsidR="009810DA">
        <w:t xml:space="preserve">Parte de esta selección se sustenta en un estudio </w:t>
      </w:r>
      <w:proofErr w:type="spellStart"/>
      <w:r w:rsidR="009810DA">
        <w:t>reputacional</w:t>
      </w:r>
      <w:proofErr w:type="spellEnd"/>
      <w:r w:rsidR="009810DA">
        <w:t xml:space="preserve"> de Lizarzaburu y Del </w:t>
      </w:r>
      <w:proofErr w:type="spellStart"/>
      <w:r w:rsidR="009810DA">
        <w:t>Brio</w:t>
      </w:r>
      <w:proofErr w:type="spellEnd"/>
      <w:r w:rsidR="009810DA">
        <w:t xml:space="preserve"> (2016), quienes señalan como los principales bancos del Per</w:t>
      </w:r>
      <w:r w:rsidR="003B7104">
        <w:t xml:space="preserve">ú al </w:t>
      </w:r>
      <w:r w:rsidR="009810DA">
        <w:t xml:space="preserve">BCP, BBVA, </w:t>
      </w:r>
      <w:proofErr w:type="spellStart"/>
      <w:r w:rsidR="009810DA">
        <w:t>Scotiabank</w:t>
      </w:r>
      <w:proofErr w:type="spellEnd"/>
      <w:r w:rsidR="009810DA">
        <w:t xml:space="preserve"> e </w:t>
      </w:r>
      <w:proofErr w:type="spellStart"/>
      <w:r w:rsidR="009810DA">
        <w:t>Interbank</w:t>
      </w:r>
      <w:proofErr w:type="spellEnd"/>
      <w:r w:rsidR="009810DA">
        <w:t>.</w:t>
      </w:r>
      <w:r w:rsidR="00462E1A">
        <w:t xml:space="preserve"> </w:t>
      </w:r>
    </w:p>
    <w:p w:rsidR="00D1383A" w:rsidRDefault="00D1383A" w:rsidP="00956B0D">
      <w:pPr>
        <w:tabs>
          <w:tab w:val="left" w:pos="5184"/>
        </w:tabs>
      </w:pPr>
    </w:p>
    <w:p w:rsidR="00956B0D" w:rsidRDefault="00462E1A" w:rsidP="00956B0D">
      <w:pPr>
        <w:tabs>
          <w:tab w:val="left" w:pos="5184"/>
        </w:tabs>
      </w:pPr>
      <w:r>
        <w:t>Esta decisión también está cimentada sobre los datos publicados por la SBS (2016) y una nota periodística de RPP Noticias</w:t>
      </w:r>
      <w:r w:rsidR="00507049">
        <w:t xml:space="preserve"> con dicha información</w:t>
      </w:r>
      <w:r>
        <w:t xml:space="preserve"> (2017).</w:t>
      </w:r>
      <w:r w:rsidR="009810DA">
        <w:t xml:space="preserve"> </w:t>
      </w:r>
      <w:r w:rsidR="00956B0D" w:rsidRPr="007F577C">
        <w:t>La técnica de muestreo que se empl</w:t>
      </w:r>
      <w:r w:rsidR="00FB6B13">
        <w:t xml:space="preserve">eo es por conveniencia, ya que </w:t>
      </w:r>
      <w:r w:rsidR="00956B0D" w:rsidRPr="007F577C">
        <w:t>estas empresas cumplen el requisito para el objetivo de la investigación.</w:t>
      </w:r>
      <w:r w:rsidR="007B06DF">
        <w:t xml:space="preserve"> La Tabla 3 muestra la ficha técnica del estudio: </w:t>
      </w:r>
    </w:p>
    <w:p w:rsidR="00956B0D" w:rsidRDefault="00956B0D" w:rsidP="00956B0D"/>
    <w:p w:rsidR="007B06DF" w:rsidRPr="003C287E" w:rsidRDefault="007B06DF" w:rsidP="007B06DF">
      <w:pPr>
        <w:rPr>
          <w:i/>
        </w:rPr>
      </w:pPr>
      <w:r>
        <w:rPr>
          <w:i/>
        </w:rPr>
        <w:t>Tabla 3</w:t>
      </w:r>
    </w:p>
    <w:p w:rsidR="007B06DF" w:rsidRPr="007B06DF" w:rsidRDefault="007B06DF" w:rsidP="00956B0D">
      <w:pPr>
        <w:rPr>
          <w:i/>
        </w:rPr>
      </w:pPr>
      <w:r>
        <w:rPr>
          <w:i/>
        </w:rPr>
        <w:t>Ficha Técnica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658"/>
      </w:tblGrid>
      <w:tr w:rsidR="00956B0D" w:rsidRPr="007F577C" w:rsidTr="007B06DF">
        <w:tc>
          <w:tcPr>
            <w:tcW w:w="3119" w:type="dxa"/>
          </w:tcPr>
          <w:p w:rsidR="00956B0D" w:rsidRPr="007F577C" w:rsidRDefault="00956B0D" w:rsidP="009D1ED2">
            <w:pPr>
              <w:rPr>
                <w:rFonts w:eastAsia="MS Mincho"/>
                <w:b/>
                <w:bCs/>
                <w:lang w:val="es-ES_tradnl" w:eastAsia="es-ES"/>
              </w:rPr>
            </w:pPr>
            <w:r w:rsidRPr="007F577C">
              <w:rPr>
                <w:rFonts w:eastAsia="MS Mincho"/>
                <w:b/>
                <w:bCs/>
                <w:lang w:val="es-ES_tradnl" w:eastAsia="es-ES"/>
              </w:rPr>
              <w:t>Universo</w:t>
            </w:r>
          </w:p>
        </w:tc>
        <w:tc>
          <w:tcPr>
            <w:tcW w:w="5658" w:type="dxa"/>
          </w:tcPr>
          <w:p w:rsidR="00956B0D" w:rsidRPr="007F577C" w:rsidRDefault="00956B0D" w:rsidP="009D1ED2">
            <w:pPr>
              <w:rPr>
                <w:rFonts w:eastAsia="MS Mincho"/>
                <w:b/>
                <w:bCs/>
                <w:lang w:val="es-ES_tradnl" w:eastAsia="es-ES"/>
              </w:rPr>
            </w:pPr>
            <w:r w:rsidRPr="007F577C">
              <w:rPr>
                <w:rFonts w:eastAsia="MS Mincho"/>
                <w:b/>
                <w:bCs/>
                <w:lang w:val="es-ES_tradnl" w:eastAsia="es-ES"/>
              </w:rPr>
              <w:t>Empresas del sector bancario que están listadas en la Bolsa de Valores de Lima</w:t>
            </w:r>
          </w:p>
        </w:tc>
      </w:tr>
      <w:tr w:rsidR="00956B0D" w:rsidRPr="007F577C" w:rsidTr="007B06DF">
        <w:tc>
          <w:tcPr>
            <w:tcW w:w="3119" w:type="dxa"/>
          </w:tcPr>
          <w:p w:rsidR="00956B0D" w:rsidRPr="007F577C" w:rsidRDefault="00956B0D" w:rsidP="009D1ED2">
            <w:pPr>
              <w:rPr>
                <w:rFonts w:eastAsia="MS Mincho"/>
                <w:b/>
                <w:bCs/>
                <w:lang w:val="es-ES_tradnl" w:eastAsia="es-ES"/>
              </w:rPr>
            </w:pPr>
            <w:r w:rsidRPr="007F577C">
              <w:rPr>
                <w:rFonts w:eastAsia="MS Mincho"/>
                <w:b/>
                <w:bCs/>
                <w:lang w:val="es-ES_tradnl" w:eastAsia="es-ES"/>
              </w:rPr>
              <w:t>Tipo de investigación</w:t>
            </w:r>
          </w:p>
        </w:tc>
        <w:tc>
          <w:tcPr>
            <w:tcW w:w="5658" w:type="dxa"/>
          </w:tcPr>
          <w:p w:rsidR="00956B0D" w:rsidRPr="007F577C" w:rsidRDefault="00956B0D" w:rsidP="009D1ED2">
            <w:pPr>
              <w:rPr>
                <w:rFonts w:eastAsia="MS Mincho"/>
                <w:lang w:val="es-ES_tradnl" w:eastAsia="es-ES"/>
              </w:rPr>
            </w:pPr>
            <w:r w:rsidRPr="007F577C">
              <w:rPr>
                <w:rFonts w:eastAsia="MS Mincho"/>
                <w:lang w:val="es-ES_tradnl" w:eastAsia="es-ES"/>
              </w:rPr>
              <w:t>Correlacional, Transversal</w:t>
            </w:r>
          </w:p>
        </w:tc>
      </w:tr>
      <w:tr w:rsidR="00956B0D" w:rsidRPr="007F577C" w:rsidTr="007B06DF">
        <w:tc>
          <w:tcPr>
            <w:tcW w:w="3119" w:type="dxa"/>
          </w:tcPr>
          <w:p w:rsidR="00956B0D" w:rsidRPr="007F577C" w:rsidRDefault="00956B0D" w:rsidP="009D1ED2">
            <w:pPr>
              <w:rPr>
                <w:rFonts w:eastAsia="MS Mincho"/>
                <w:b/>
                <w:bCs/>
                <w:lang w:val="es-ES_tradnl" w:eastAsia="es-ES"/>
              </w:rPr>
            </w:pPr>
            <w:r w:rsidRPr="007F577C">
              <w:rPr>
                <w:rFonts w:eastAsia="MS Mincho"/>
                <w:b/>
                <w:bCs/>
                <w:lang w:val="es-ES_tradnl" w:eastAsia="es-ES"/>
              </w:rPr>
              <w:t>Tipo de muestreo</w:t>
            </w:r>
          </w:p>
        </w:tc>
        <w:tc>
          <w:tcPr>
            <w:tcW w:w="5658" w:type="dxa"/>
          </w:tcPr>
          <w:p w:rsidR="00956B0D" w:rsidRPr="007F577C" w:rsidRDefault="00956B0D" w:rsidP="009D1ED2">
            <w:pPr>
              <w:rPr>
                <w:rFonts w:eastAsia="MS Mincho"/>
                <w:lang w:val="es-ES_tradnl" w:eastAsia="es-ES"/>
              </w:rPr>
            </w:pPr>
            <w:r w:rsidRPr="007F577C">
              <w:rPr>
                <w:rFonts w:eastAsia="MS Mincho"/>
                <w:lang w:val="es-ES_tradnl" w:eastAsia="es-ES"/>
              </w:rPr>
              <w:t xml:space="preserve">No Probabilístico, por conveniencia </w:t>
            </w:r>
          </w:p>
        </w:tc>
      </w:tr>
      <w:tr w:rsidR="00956B0D" w:rsidRPr="007F577C" w:rsidTr="007B06DF">
        <w:tc>
          <w:tcPr>
            <w:tcW w:w="3119" w:type="dxa"/>
          </w:tcPr>
          <w:p w:rsidR="00956B0D" w:rsidRPr="007F577C" w:rsidRDefault="00956B0D" w:rsidP="009D1ED2">
            <w:pPr>
              <w:rPr>
                <w:rFonts w:eastAsia="MS Mincho"/>
                <w:b/>
                <w:bCs/>
                <w:lang w:val="es-ES_tradnl" w:eastAsia="es-ES"/>
              </w:rPr>
            </w:pPr>
            <w:r w:rsidRPr="007F577C">
              <w:rPr>
                <w:rFonts w:eastAsia="MS Mincho"/>
                <w:b/>
                <w:bCs/>
                <w:lang w:val="es-ES_tradnl" w:eastAsia="es-ES"/>
              </w:rPr>
              <w:t>Muestra</w:t>
            </w:r>
          </w:p>
        </w:tc>
        <w:tc>
          <w:tcPr>
            <w:tcW w:w="5658" w:type="dxa"/>
          </w:tcPr>
          <w:p w:rsidR="00956B0D" w:rsidRPr="007F577C" w:rsidRDefault="00956B0D" w:rsidP="009D1ED2">
            <w:pPr>
              <w:rPr>
                <w:rFonts w:eastAsia="MS Mincho"/>
                <w:lang w:val="es-ES_tradnl" w:eastAsia="es-ES"/>
              </w:rPr>
            </w:pPr>
            <w:r w:rsidRPr="007F577C">
              <w:rPr>
                <w:rFonts w:eastAsia="MS Mincho"/>
                <w:lang w:val="es-ES_tradnl" w:eastAsia="es-ES"/>
              </w:rPr>
              <w:t xml:space="preserve">Empresas más representativas del sector bancario que están listadas en la Bolsa de Valores de Lima </w:t>
            </w:r>
          </w:p>
        </w:tc>
      </w:tr>
      <w:tr w:rsidR="00956B0D" w:rsidRPr="007F577C" w:rsidTr="007B06DF">
        <w:tc>
          <w:tcPr>
            <w:tcW w:w="3119" w:type="dxa"/>
          </w:tcPr>
          <w:p w:rsidR="00956B0D" w:rsidRPr="007F577C" w:rsidRDefault="00956B0D" w:rsidP="009D1ED2">
            <w:pPr>
              <w:rPr>
                <w:rFonts w:eastAsia="MS Mincho"/>
                <w:b/>
                <w:bCs/>
                <w:lang w:val="es-ES_tradnl" w:eastAsia="es-ES"/>
              </w:rPr>
            </w:pPr>
            <w:r w:rsidRPr="007F577C">
              <w:rPr>
                <w:rFonts w:eastAsia="MS Mincho"/>
                <w:b/>
                <w:bCs/>
                <w:lang w:val="es-ES_tradnl" w:eastAsia="es-ES"/>
              </w:rPr>
              <w:t>Herramienta aplicada</w:t>
            </w:r>
          </w:p>
        </w:tc>
        <w:tc>
          <w:tcPr>
            <w:tcW w:w="5658" w:type="dxa"/>
          </w:tcPr>
          <w:p w:rsidR="00956B0D" w:rsidRPr="007F577C" w:rsidRDefault="00956B0D" w:rsidP="009D1ED2">
            <w:pPr>
              <w:rPr>
                <w:rFonts w:eastAsia="MS Mincho"/>
                <w:lang w:val="es-ES_tradnl" w:eastAsia="es-ES"/>
              </w:rPr>
            </w:pPr>
            <w:r w:rsidRPr="007F577C">
              <w:rPr>
                <w:rFonts w:eastAsia="MS Mincho"/>
                <w:lang w:val="es-ES_tradnl" w:eastAsia="es-ES"/>
              </w:rPr>
              <w:t>Regresión</w:t>
            </w:r>
          </w:p>
        </w:tc>
      </w:tr>
      <w:tr w:rsidR="00956B0D" w:rsidRPr="007F577C" w:rsidTr="007B06DF">
        <w:tc>
          <w:tcPr>
            <w:tcW w:w="3119" w:type="dxa"/>
          </w:tcPr>
          <w:p w:rsidR="00956B0D" w:rsidRPr="007F577C" w:rsidRDefault="00956B0D" w:rsidP="009D1ED2">
            <w:pPr>
              <w:rPr>
                <w:rFonts w:eastAsia="MS Mincho"/>
                <w:b/>
                <w:bCs/>
                <w:lang w:val="es-ES_tradnl" w:eastAsia="es-ES"/>
              </w:rPr>
            </w:pPr>
            <w:r w:rsidRPr="007F577C">
              <w:rPr>
                <w:rFonts w:eastAsia="MS Mincho"/>
                <w:b/>
                <w:bCs/>
                <w:lang w:val="es-ES_tradnl" w:eastAsia="es-ES"/>
              </w:rPr>
              <w:t>Número de muestra</w:t>
            </w:r>
          </w:p>
        </w:tc>
        <w:tc>
          <w:tcPr>
            <w:tcW w:w="5658" w:type="dxa"/>
          </w:tcPr>
          <w:p w:rsidR="00956B0D" w:rsidRPr="007F577C" w:rsidRDefault="00956B0D" w:rsidP="009D1ED2">
            <w:pPr>
              <w:rPr>
                <w:rFonts w:eastAsia="MS Mincho"/>
                <w:lang w:val="es-ES_tradnl" w:eastAsia="es-ES"/>
              </w:rPr>
            </w:pPr>
            <w:r w:rsidRPr="007F577C">
              <w:rPr>
                <w:rFonts w:eastAsia="MS Mincho"/>
                <w:lang w:val="es-ES_tradnl" w:eastAsia="es-ES"/>
              </w:rPr>
              <w:t>10 empresas más representativas del sector bancario que están listadas en la Bolsa de Valores de Lima</w:t>
            </w:r>
          </w:p>
        </w:tc>
      </w:tr>
      <w:tr w:rsidR="00956B0D" w:rsidRPr="007F577C" w:rsidTr="007B06DF">
        <w:tc>
          <w:tcPr>
            <w:tcW w:w="3119" w:type="dxa"/>
          </w:tcPr>
          <w:p w:rsidR="00956B0D" w:rsidRPr="007F577C" w:rsidRDefault="00956B0D" w:rsidP="009D1ED2">
            <w:pPr>
              <w:rPr>
                <w:rFonts w:eastAsia="MS Mincho"/>
                <w:b/>
                <w:bCs/>
                <w:lang w:val="es-ES_tradnl" w:eastAsia="es-ES"/>
              </w:rPr>
            </w:pPr>
            <w:r w:rsidRPr="007F577C">
              <w:rPr>
                <w:rFonts w:eastAsia="MS Mincho"/>
                <w:b/>
                <w:bCs/>
                <w:lang w:val="es-ES_tradnl" w:eastAsia="es-ES"/>
              </w:rPr>
              <w:t>Periodo de recolección de datos</w:t>
            </w:r>
          </w:p>
        </w:tc>
        <w:tc>
          <w:tcPr>
            <w:tcW w:w="5658" w:type="dxa"/>
          </w:tcPr>
          <w:p w:rsidR="00956B0D" w:rsidRPr="007F577C" w:rsidRDefault="00956B0D" w:rsidP="009D1ED2">
            <w:pPr>
              <w:rPr>
                <w:rFonts w:eastAsia="MS Mincho"/>
                <w:lang w:val="es-ES_tradnl" w:eastAsia="es-ES"/>
              </w:rPr>
            </w:pPr>
            <w:r w:rsidRPr="007F577C">
              <w:rPr>
                <w:rFonts w:eastAsia="MS Mincho"/>
                <w:lang w:val="es-ES_tradnl" w:eastAsia="es-ES"/>
              </w:rPr>
              <w:t>Anuales desde 2011 hasta el 2016</w:t>
            </w:r>
          </w:p>
        </w:tc>
      </w:tr>
      <w:tr w:rsidR="00956B0D" w:rsidRPr="007F577C" w:rsidTr="007B06DF">
        <w:tc>
          <w:tcPr>
            <w:tcW w:w="3119" w:type="dxa"/>
          </w:tcPr>
          <w:p w:rsidR="00956B0D" w:rsidRPr="007F577C" w:rsidRDefault="00956B0D" w:rsidP="009D1ED2">
            <w:pPr>
              <w:rPr>
                <w:rFonts w:eastAsia="MS Mincho"/>
                <w:b/>
                <w:bCs/>
                <w:lang w:val="es-ES_tradnl" w:eastAsia="es-ES"/>
              </w:rPr>
            </w:pPr>
            <w:r w:rsidRPr="007F577C">
              <w:rPr>
                <w:rFonts w:eastAsia="MS Mincho"/>
                <w:b/>
                <w:bCs/>
                <w:lang w:val="es-ES_tradnl" w:eastAsia="es-ES"/>
              </w:rPr>
              <w:t>Análisis estadístico</w:t>
            </w:r>
          </w:p>
        </w:tc>
        <w:tc>
          <w:tcPr>
            <w:tcW w:w="5658" w:type="dxa"/>
          </w:tcPr>
          <w:p w:rsidR="00956B0D" w:rsidRPr="007F577C" w:rsidRDefault="00956B0D" w:rsidP="009D1ED2">
            <w:pPr>
              <w:rPr>
                <w:rFonts w:eastAsia="MS Mincho"/>
                <w:lang w:val="es-ES_tradnl" w:eastAsia="es-ES"/>
              </w:rPr>
            </w:pPr>
            <w:r w:rsidRPr="007F577C">
              <w:rPr>
                <w:rFonts w:eastAsia="MS Mincho"/>
                <w:lang w:val="es-ES_tradnl" w:eastAsia="es-ES"/>
              </w:rPr>
              <w:t>Análisis correlacional</w:t>
            </w:r>
          </w:p>
        </w:tc>
      </w:tr>
    </w:tbl>
    <w:p w:rsidR="00956B0D" w:rsidRDefault="007B06DF" w:rsidP="00956B0D">
      <w:r>
        <w:t>Fuente: Elaboración propia</w:t>
      </w:r>
    </w:p>
    <w:p w:rsidR="007B06DF" w:rsidRDefault="007B06DF" w:rsidP="00956B0D"/>
    <w:p w:rsidR="00956B0D" w:rsidRPr="007F577C" w:rsidRDefault="00956B0D" w:rsidP="00956B0D">
      <w:pPr>
        <w:tabs>
          <w:tab w:val="left" w:pos="5184"/>
        </w:tabs>
      </w:pPr>
      <w:r w:rsidRPr="007F577C">
        <w:t xml:space="preserve">Debido a que los datos del presente estudio fueron recolectados por otros especialistas, utilizaremos datos secundarios, todos los datos serán tomados de la </w:t>
      </w:r>
      <w:r w:rsidR="00A20396">
        <w:t>BVL y</w:t>
      </w:r>
      <w:r w:rsidRPr="007F577C">
        <w:t xml:space="preserve"> la </w:t>
      </w:r>
      <w:r w:rsidR="00A20396">
        <w:t>SMV</w:t>
      </w:r>
      <w:r w:rsidRPr="007F577C">
        <w:t>.</w:t>
      </w:r>
    </w:p>
    <w:p w:rsidR="00956B0D" w:rsidRDefault="00956B0D" w:rsidP="00956B0D"/>
    <w:p w:rsidR="00956B0D" w:rsidRDefault="00956B0D" w:rsidP="00956B0D">
      <w:pPr>
        <w:pStyle w:val="Ttulo3"/>
      </w:pPr>
      <w:r>
        <w:t>Método de análisis de datos</w:t>
      </w:r>
    </w:p>
    <w:p w:rsidR="00D1383A" w:rsidRDefault="00956B0D" w:rsidP="00956B0D">
      <w:pPr>
        <w:tabs>
          <w:tab w:val="left" w:pos="5184"/>
        </w:tabs>
      </w:pPr>
      <w:r w:rsidRPr="007F577C">
        <w:t>Para comprobar</w:t>
      </w:r>
      <w:r w:rsidR="00A20396">
        <w:t xml:space="preserve"> la hipótesis del</w:t>
      </w:r>
      <w:r w:rsidRPr="007F577C">
        <w:t xml:space="preserve"> estudio se util</w:t>
      </w:r>
      <w:r w:rsidR="00A20396">
        <w:t xml:space="preserve">izará estadística inferencial: las variables </w:t>
      </w:r>
      <w:r w:rsidRPr="007F577C">
        <w:t>se analizará</w:t>
      </w:r>
      <w:r w:rsidR="00A20396">
        <w:t>n</w:t>
      </w:r>
      <w:r w:rsidRPr="007F577C">
        <w:t xml:space="preserve"> mediante una regresión para conocer la significancia de la variable Gobierno Corporativo. La regresión también ayudará a conocer la asociación </w:t>
      </w:r>
      <w:r w:rsidR="00A20396">
        <w:t>del</w:t>
      </w:r>
      <w:r w:rsidRPr="007F577C">
        <w:t xml:space="preserve"> Gobierno Corporativo con el valor económico de las empresas más representativas del sector bancario.</w:t>
      </w:r>
      <w:r>
        <w:t xml:space="preserve"> </w:t>
      </w:r>
    </w:p>
    <w:p w:rsidR="00D1383A" w:rsidRDefault="00D1383A" w:rsidP="00956B0D">
      <w:pPr>
        <w:tabs>
          <w:tab w:val="left" w:pos="5184"/>
        </w:tabs>
      </w:pPr>
    </w:p>
    <w:p w:rsidR="00956B0D" w:rsidRPr="007F577C" w:rsidRDefault="00956B0D" w:rsidP="00956B0D">
      <w:pPr>
        <w:tabs>
          <w:tab w:val="left" w:pos="5184"/>
        </w:tabs>
      </w:pPr>
      <w:r w:rsidRPr="007F577C">
        <w:t>En esta ocasión</w:t>
      </w:r>
      <w:r w:rsidR="00C12ECA">
        <w:t>,</w:t>
      </w:r>
      <w:r w:rsidRPr="007F577C">
        <w:t xml:space="preserve"> </w:t>
      </w:r>
      <w:r w:rsidR="00A20396">
        <w:t xml:space="preserve">la herramienta a utilizar es </w:t>
      </w:r>
      <w:r w:rsidRPr="007F577C">
        <w:t xml:space="preserve">el programa </w:t>
      </w:r>
      <w:proofErr w:type="spellStart"/>
      <w:r w:rsidRPr="007F577C">
        <w:t>Eviews</w:t>
      </w:r>
      <w:proofErr w:type="spellEnd"/>
      <w:r w:rsidRPr="007F577C">
        <w:t xml:space="preserve">, con </w:t>
      </w:r>
      <w:r w:rsidR="00A20396">
        <w:t>el que se</w:t>
      </w:r>
      <w:r w:rsidRPr="007F577C">
        <w:t xml:space="preserve"> calculará</w:t>
      </w:r>
      <w:r w:rsidR="00A20396">
        <w:t>n</w:t>
      </w:r>
      <w:r w:rsidRPr="007F577C">
        <w:t xml:space="preserve"> lo</w:t>
      </w:r>
      <w:r w:rsidR="00A20396">
        <w:t>s coeficientes de las variables, as</w:t>
      </w:r>
      <w:r w:rsidR="00FE2866">
        <w:t xml:space="preserve">í como su nivel de significancia para </w:t>
      </w:r>
      <w:r w:rsidR="00FE2866">
        <w:lastRenderedPageBreak/>
        <w:t>el modelo. C</w:t>
      </w:r>
      <w:r w:rsidRPr="007F577C">
        <w:t xml:space="preserve">abe resaltar que las variables serán significativas cuando su probabilidad sea menor a 0.05 y que </w:t>
      </w:r>
      <w:r w:rsidR="00FE2866">
        <w:t>el</w:t>
      </w:r>
      <w:r w:rsidRPr="007F577C">
        <w:t xml:space="preserve"> modelo será significativo si </w:t>
      </w:r>
      <w:r w:rsidR="00FE2866">
        <w:t>la</w:t>
      </w:r>
      <w:r w:rsidRPr="007F577C">
        <w:t xml:space="preserve"> </w:t>
      </w:r>
      <w:proofErr w:type="spellStart"/>
      <w:r w:rsidRPr="007F577C">
        <w:t>Prob</w:t>
      </w:r>
      <w:proofErr w:type="spellEnd"/>
      <w:r>
        <w:t xml:space="preserve"> </w:t>
      </w:r>
      <w:r w:rsidR="00C161AA">
        <w:t>(F-STATIC</w:t>
      </w:r>
      <w:proofErr w:type="gramStart"/>
      <w:r w:rsidR="00C161AA">
        <w:t>)&lt;</w:t>
      </w:r>
      <w:proofErr w:type="gramEnd"/>
      <w:r w:rsidR="00C161AA">
        <w:t xml:space="preserve">0.05 (Schroeder, </w:t>
      </w:r>
      <w:proofErr w:type="spellStart"/>
      <w:r w:rsidR="00C161AA">
        <w:t>Sjoquist</w:t>
      </w:r>
      <w:proofErr w:type="spellEnd"/>
      <w:r w:rsidR="00C161AA">
        <w:t xml:space="preserve"> y Stephan, </w:t>
      </w:r>
      <w:r w:rsidR="008E10D8">
        <w:t>2016).</w:t>
      </w:r>
    </w:p>
    <w:p w:rsidR="00956B0D" w:rsidRPr="00956B0D" w:rsidRDefault="00956B0D" w:rsidP="00956B0D"/>
    <w:p w:rsidR="007B06DF" w:rsidRPr="007F577C" w:rsidRDefault="00956B0D" w:rsidP="002546EE">
      <w:pPr>
        <w:pStyle w:val="Ttulo1"/>
      </w:pPr>
      <w:r>
        <w:t>Resultados</w:t>
      </w:r>
    </w:p>
    <w:p w:rsidR="00D1383A" w:rsidRDefault="00956B0D" w:rsidP="002546EE">
      <w:pPr>
        <w:tabs>
          <w:tab w:val="left" w:pos="5184"/>
        </w:tabs>
      </w:pPr>
      <w:r w:rsidRPr="007F577C">
        <w:t>C</w:t>
      </w:r>
      <w:r w:rsidR="00F142BD">
        <w:t>on la finalidad de dar una primera aproximación a</w:t>
      </w:r>
      <w:r w:rsidRPr="007F577C">
        <w:t xml:space="preserve"> la </w:t>
      </w:r>
      <w:r w:rsidR="00766E65">
        <w:t>relación que tiene el Gobierno C</w:t>
      </w:r>
      <w:r w:rsidRPr="007F577C">
        <w:t xml:space="preserve">orporativo con el valor económico de las empresas del sector bancario </w:t>
      </w:r>
      <w:r w:rsidR="00F142BD">
        <w:t xml:space="preserve">peruano </w:t>
      </w:r>
      <w:r w:rsidRPr="007F577C">
        <w:t>se construyó la tabla de correla</w:t>
      </w:r>
      <w:r w:rsidR="00F142BD">
        <w:t>ciones</w:t>
      </w:r>
      <w:r w:rsidRPr="007F577C">
        <w:t>.</w:t>
      </w:r>
      <w:r w:rsidR="00C44461">
        <w:t xml:space="preserve"> </w:t>
      </w:r>
    </w:p>
    <w:p w:rsidR="00D1383A" w:rsidRDefault="00D1383A" w:rsidP="002546EE">
      <w:pPr>
        <w:tabs>
          <w:tab w:val="left" w:pos="5184"/>
        </w:tabs>
      </w:pPr>
    </w:p>
    <w:p w:rsidR="002546EE" w:rsidRDefault="00F142BD" w:rsidP="002546EE">
      <w:pPr>
        <w:tabs>
          <w:tab w:val="left" w:pos="5184"/>
        </w:tabs>
      </w:pPr>
      <w:r>
        <w:t xml:space="preserve">Esta matriz </w:t>
      </w:r>
      <w:r w:rsidR="00956B0D" w:rsidRPr="007F577C">
        <w:t xml:space="preserve">evidencia que </w:t>
      </w:r>
      <w:r>
        <w:t>la</w:t>
      </w:r>
      <w:r w:rsidR="00956B0D" w:rsidRPr="007F577C">
        <w:t xml:space="preserve"> correlación positiva entre </w:t>
      </w:r>
      <w:r>
        <w:t xml:space="preserve">el IBGC y el valor de los bancos listados en la bolsa limeña presentes en el índice Merco-Perú de Gobierno Corporativo. </w:t>
      </w:r>
      <w:r w:rsidR="002546EE">
        <w:t>En la</w:t>
      </w:r>
      <w:r w:rsidR="00254F49">
        <w:t>s</w:t>
      </w:r>
      <w:r w:rsidR="002546EE">
        <w:t xml:space="preserve"> siguiente</w:t>
      </w:r>
      <w:r w:rsidR="00254F49">
        <w:t>s</w:t>
      </w:r>
      <w:r w:rsidR="002546EE">
        <w:t xml:space="preserve"> Tabla 4</w:t>
      </w:r>
      <w:r w:rsidR="00254F49">
        <w:t xml:space="preserve"> y 5, se muestran los estadísticos descriptivos y las</w:t>
      </w:r>
      <w:r w:rsidR="002546EE">
        <w:t xml:space="preserve"> correlaciones entre las vari</w:t>
      </w:r>
      <w:r w:rsidR="00254F49">
        <w:t xml:space="preserve">ables analizadas para el modelo respectivamente. </w:t>
      </w:r>
    </w:p>
    <w:p w:rsidR="00FF71CD" w:rsidRDefault="00FF71CD" w:rsidP="00254F49">
      <w:pPr>
        <w:tabs>
          <w:tab w:val="left" w:pos="5184"/>
        </w:tabs>
        <w:ind w:right="-1"/>
        <w:rPr>
          <w:i/>
        </w:rPr>
      </w:pPr>
    </w:p>
    <w:p w:rsidR="0084055A" w:rsidRPr="003C287E" w:rsidRDefault="00254F49" w:rsidP="00254F49">
      <w:pPr>
        <w:tabs>
          <w:tab w:val="left" w:pos="5184"/>
        </w:tabs>
        <w:ind w:right="-1"/>
        <w:rPr>
          <w:i/>
        </w:rPr>
      </w:pPr>
      <w:r>
        <w:rPr>
          <w:i/>
        </w:rPr>
        <w:t>Tabla 4</w:t>
      </w:r>
    </w:p>
    <w:p w:rsidR="0084055A" w:rsidRPr="007F577C" w:rsidRDefault="0084055A" w:rsidP="0084055A">
      <w:pPr>
        <w:tabs>
          <w:tab w:val="left" w:pos="5184"/>
        </w:tabs>
        <w:ind w:right="-1"/>
        <w:rPr>
          <w:b/>
        </w:rPr>
      </w:pPr>
      <w:r>
        <w:rPr>
          <w:i/>
        </w:rPr>
        <w:t>Estadísticos descriptivos de las variables</w:t>
      </w:r>
    </w:p>
    <w:tbl>
      <w:tblPr>
        <w:tblW w:w="8776" w:type="dxa"/>
        <w:tblCellMar>
          <w:left w:w="70" w:type="dxa"/>
          <w:right w:w="70" w:type="dxa"/>
        </w:tblCellMar>
        <w:tblLook w:val="04A0" w:firstRow="1" w:lastRow="0" w:firstColumn="1" w:lastColumn="0" w:noHBand="0" w:noVBand="1"/>
      </w:tblPr>
      <w:tblGrid>
        <w:gridCol w:w="2302"/>
        <w:gridCol w:w="3391"/>
        <w:gridCol w:w="3083"/>
      </w:tblGrid>
      <w:tr w:rsidR="00956B0D" w:rsidRPr="00353A8D" w:rsidTr="00353A8D">
        <w:trPr>
          <w:trHeight w:val="17"/>
        </w:trPr>
        <w:tc>
          <w:tcPr>
            <w:tcW w:w="2302" w:type="dxa"/>
            <w:tcBorders>
              <w:top w:val="single" w:sz="8" w:space="0" w:color="auto"/>
              <w:left w:val="single" w:sz="8" w:space="0" w:color="auto"/>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b/>
                <w:color w:val="000000"/>
                <w:sz w:val="22"/>
                <w:szCs w:val="24"/>
                <w:lang w:eastAsia="es-PE"/>
              </w:rPr>
            </w:pPr>
            <w:r w:rsidRPr="00D1383A">
              <w:rPr>
                <w:rFonts w:eastAsia="Times New Roman"/>
                <w:b/>
                <w:color w:val="000000"/>
                <w:sz w:val="22"/>
                <w:szCs w:val="24"/>
                <w:lang w:eastAsia="es-PE"/>
              </w:rPr>
              <w:t>Variables</w:t>
            </w:r>
          </w:p>
        </w:tc>
        <w:tc>
          <w:tcPr>
            <w:tcW w:w="3391" w:type="dxa"/>
            <w:tcBorders>
              <w:top w:val="single" w:sz="8" w:space="0" w:color="auto"/>
              <w:left w:val="nil"/>
              <w:bottom w:val="single" w:sz="8" w:space="0" w:color="auto"/>
              <w:right w:val="nil"/>
            </w:tcBorders>
            <w:shd w:val="clear" w:color="auto" w:fill="auto"/>
            <w:noWrap/>
            <w:hideMark/>
          </w:tcPr>
          <w:p w:rsidR="00956B0D" w:rsidRPr="00D1383A" w:rsidRDefault="00956B0D" w:rsidP="009D1ED2">
            <w:pPr>
              <w:jc w:val="center"/>
              <w:rPr>
                <w:rFonts w:eastAsia="Times New Roman"/>
                <w:b/>
                <w:color w:val="000000"/>
                <w:sz w:val="22"/>
                <w:szCs w:val="24"/>
                <w:lang w:eastAsia="es-PE"/>
              </w:rPr>
            </w:pPr>
            <w:r w:rsidRPr="00D1383A">
              <w:rPr>
                <w:rFonts w:eastAsia="Times New Roman"/>
                <w:b/>
                <w:color w:val="000000"/>
                <w:sz w:val="22"/>
                <w:szCs w:val="24"/>
                <w:lang w:eastAsia="es-PE"/>
              </w:rPr>
              <w:t>Estadísticos</w:t>
            </w:r>
          </w:p>
        </w:tc>
        <w:tc>
          <w:tcPr>
            <w:tcW w:w="3083" w:type="dxa"/>
            <w:tcBorders>
              <w:top w:val="single" w:sz="8" w:space="0" w:color="auto"/>
              <w:left w:val="single" w:sz="8" w:space="0" w:color="auto"/>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b/>
                <w:color w:val="000000"/>
                <w:sz w:val="22"/>
                <w:szCs w:val="24"/>
                <w:lang w:eastAsia="es-PE"/>
              </w:rPr>
            </w:pPr>
            <w:r w:rsidRPr="00D1383A">
              <w:rPr>
                <w:rFonts w:eastAsia="Times New Roman"/>
                <w:b/>
                <w:color w:val="000000"/>
                <w:sz w:val="22"/>
                <w:szCs w:val="24"/>
                <w:lang w:eastAsia="es-PE"/>
              </w:rPr>
              <w:t>Valores</w:t>
            </w:r>
          </w:p>
        </w:tc>
      </w:tr>
      <w:tr w:rsidR="00956B0D" w:rsidRPr="00353A8D" w:rsidTr="00353A8D">
        <w:trPr>
          <w:trHeight w:val="17"/>
        </w:trPr>
        <w:tc>
          <w:tcPr>
            <w:tcW w:w="2302" w:type="dxa"/>
            <w:vMerge w:val="restart"/>
            <w:tcBorders>
              <w:top w:val="nil"/>
              <w:left w:val="single" w:sz="8" w:space="0" w:color="auto"/>
              <w:bottom w:val="nil"/>
              <w:right w:val="single" w:sz="8" w:space="0" w:color="auto"/>
            </w:tcBorders>
            <w:shd w:val="clear" w:color="auto" w:fill="auto"/>
            <w:noWrap/>
            <w:hideMark/>
          </w:tcPr>
          <w:p w:rsidR="00290681" w:rsidRPr="00D1383A" w:rsidRDefault="00956B0D"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APAL</w:t>
            </w:r>
            <w:r w:rsidR="00F96A4C" w:rsidRPr="00D1383A">
              <w:rPr>
                <w:rFonts w:eastAsia="Times New Roman"/>
                <w:i/>
                <w:iCs/>
                <w:color w:val="000000"/>
                <w:sz w:val="22"/>
                <w:szCs w:val="24"/>
                <w:lang w:eastAsia="es-PE"/>
              </w:rPr>
              <w:t xml:space="preserve"> </w:t>
            </w:r>
          </w:p>
          <w:p w:rsidR="00956B0D" w:rsidRPr="00D1383A" w:rsidRDefault="00F96A4C"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(X</w:t>
            </w:r>
            <w:r w:rsidRPr="00D1383A">
              <w:rPr>
                <w:rFonts w:eastAsia="Times New Roman"/>
                <w:i/>
                <w:iCs/>
                <w:color w:val="000000"/>
                <w:sz w:val="22"/>
                <w:szCs w:val="24"/>
                <w:vertAlign w:val="subscript"/>
                <w:lang w:eastAsia="es-PE"/>
              </w:rPr>
              <w:t>1</w:t>
            </w:r>
            <w:r w:rsidRPr="00D1383A">
              <w:rPr>
                <w:rFonts w:eastAsia="Times New Roman"/>
                <w:i/>
                <w:iCs/>
                <w:color w:val="000000"/>
                <w:sz w:val="22"/>
                <w:szCs w:val="24"/>
                <w:lang w:eastAsia="es-PE"/>
              </w:rPr>
              <w:t>)</w:t>
            </w: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Media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1.5997</w:t>
            </w:r>
          </w:p>
        </w:tc>
      </w:tr>
      <w:tr w:rsidR="00956B0D" w:rsidRPr="00353A8D" w:rsidTr="00353A8D">
        <w:trPr>
          <w:trHeight w:val="17"/>
        </w:trPr>
        <w:tc>
          <w:tcPr>
            <w:tcW w:w="2302" w:type="dxa"/>
            <w:vMerge/>
            <w:tcBorders>
              <w:top w:val="nil"/>
              <w:left w:val="single" w:sz="8" w:space="0" w:color="auto"/>
              <w:bottom w:val="nil"/>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Desviación estándar</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1.0218</w:t>
            </w:r>
          </w:p>
        </w:tc>
      </w:tr>
      <w:tr w:rsidR="00956B0D" w:rsidRPr="00353A8D" w:rsidTr="00353A8D">
        <w:trPr>
          <w:trHeight w:val="17"/>
        </w:trPr>
        <w:tc>
          <w:tcPr>
            <w:tcW w:w="2302" w:type="dxa"/>
            <w:vMerge/>
            <w:tcBorders>
              <w:top w:val="nil"/>
              <w:left w:val="single" w:sz="8" w:space="0" w:color="auto"/>
              <w:bottom w:val="nil"/>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Varianza de la muestra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1.0441</w:t>
            </w:r>
          </w:p>
        </w:tc>
      </w:tr>
      <w:tr w:rsidR="00956B0D" w:rsidRPr="00353A8D" w:rsidTr="00353A8D">
        <w:trPr>
          <w:trHeight w:val="17"/>
        </w:trPr>
        <w:tc>
          <w:tcPr>
            <w:tcW w:w="2302" w:type="dxa"/>
            <w:vMerge/>
            <w:tcBorders>
              <w:top w:val="nil"/>
              <w:left w:val="single" w:sz="8" w:space="0" w:color="auto"/>
              <w:bottom w:val="nil"/>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Cuenta</w:t>
            </w:r>
          </w:p>
        </w:tc>
        <w:tc>
          <w:tcPr>
            <w:tcW w:w="3083"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60</w:t>
            </w:r>
          </w:p>
        </w:tc>
      </w:tr>
      <w:tr w:rsidR="00956B0D" w:rsidRPr="00353A8D" w:rsidTr="00353A8D">
        <w:trPr>
          <w:trHeight w:val="17"/>
        </w:trPr>
        <w:tc>
          <w:tcPr>
            <w:tcW w:w="2302" w:type="dxa"/>
            <w:vMerge w:val="restart"/>
            <w:tcBorders>
              <w:top w:val="single" w:sz="8" w:space="0" w:color="auto"/>
              <w:left w:val="single" w:sz="8" w:space="0" w:color="auto"/>
              <w:bottom w:val="nil"/>
              <w:right w:val="single" w:sz="8" w:space="0" w:color="auto"/>
            </w:tcBorders>
            <w:shd w:val="clear" w:color="auto" w:fill="auto"/>
            <w:noWrap/>
            <w:hideMark/>
          </w:tcPr>
          <w:p w:rsidR="00290681" w:rsidRPr="00D1383A" w:rsidRDefault="00956B0D"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RAT_EFI</w:t>
            </w:r>
            <w:r w:rsidR="00F96A4C" w:rsidRPr="00D1383A">
              <w:rPr>
                <w:rFonts w:eastAsia="Times New Roman"/>
                <w:i/>
                <w:iCs/>
                <w:color w:val="000000"/>
                <w:sz w:val="22"/>
                <w:szCs w:val="24"/>
                <w:lang w:eastAsia="es-PE"/>
              </w:rPr>
              <w:t xml:space="preserve"> </w:t>
            </w:r>
          </w:p>
          <w:p w:rsidR="00956B0D" w:rsidRPr="00D1383A" w:rsidRDefault="00F96A4C"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(X</w:t>
            </w:r>
            <w:r w:rsidRPr="00D1383A">
              <w:rPr>
                <w:rFonts w:eastAsia="Times New Roman"/>
                <w:i/>
                <w:iCs/>
                <w:color w:val="000000"/>
                <w:sz w:val="22"/>
                <w:szCs w:val="24"/>
                <w:vertAlign w:val="subscript"/>
                <w:lang w:eastAsia="es-PE"/>
              </w:rPr>
              <w:t>2</w:t>
            </w:r>
            <w:r w:rsidRPr="00D1383A">
              <w:rPr>
                <w:rFonts w:eastAsia="Times New Roman"/>
                <w:i/>
                <w:iCs/>
                <w:color w:val="000000"/>
                <w:sz w:val="22"/>
                <w:szCs w:val="24"/>
                <w:lang w:eastAsia="es-PE"/>
              </w:rPr>
              <w:t>)</w:t>
            </w: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Media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0.5403</w:t>
            </w:r>
          </w:p>
        </w:tc>
      </w:tr>
      <w:tr w:rsidR="00956B0D" w:rsidRPr="00353A8D" w:rsidTr="00353A8D">
        <w:trPr>
          <w:trHeight w:val="17"/>
        </w:trPr>
        <w:tc>
          <w:tcPr>
            <w:tcW w:w="2302" w:type="dxa"/>
            <w:vMerge/>
            <w:tcBorders>
              <w:top w:val="single" w:sz="8" w:space="0" w:color="auto"/>
              <w:left w:val="single" w:sz="8" w:space="0" w:color="auto"/>
              <w:bottom w:val="nil"/>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Desviación estándar</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0.1219</w:t>
            </w:r>
          </w:p>
        </w:tc>
      </w:tr>
      <w:tr w:rsidR="00956B0D" w:rsidRPr="00353A8D" w:rsidTr="00353A8D">
        <w:trPr>
          <w:trHeight w:val="17"/>
        </w:trPr>
        <w:tc>
          <w:tcPr>
            <w:tcW w:w="2302" w:type="dxa"/>
            <w:vMerge/>
            <w:tcBorders>
              <w:top w:val="single" w:sz="8" w:space="0" w:color="auto"/>
              <w:left w:val="single" w:sz="8" w:space="0" w:color="auto"/>
              <w:bottom w:val="nil"/>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Varianza de la muestra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0.0149</w:t>
            </w:r>
          </w:p>
        </w:tc>
      </w:tr>
      <w:tr w:rsidR="00956B0D" w:rsidRPr="00353A8D" w:rsidTr="00353A8D">
        <w:trPr>
          <w:trHeight w:val="17"/>
        </w:trPr>
        <w:tc>
          <w:tcPr>
            <w:tcW w:w="2302" w:type="dxa"/>
            <w:vMerge/>
            <w:tcBorders>
              <w:top w:val="single" w:sz="8" w:space="0" w:color="auto"/>
              <w:left w:val="single" w:sz="8" w:space="0" w:color="auto"/>
              <w:bottom w:val="nil"/>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Cuenta</w:t>
            </w:r>
          </w:p>
        </w:tc>
        <w:tc>
          <w:tcPr>
            <w:tcW w:w="3083"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60</w:t>
            </w:r>
          </w:p>
        </w:tc>
      </w:tr>
      <w:tr w:rsidR="00956B0D" w:rsidRPr="00353A8D" w:rsidTr="00353A8D">
        <w:trPr>
          <w:trHeight w:val="17"/>
        </w:trPr>
        <w:tc>
          <w:tcPr>
            <w:tcW w:w="2302" w:type="dxa"/>
            <w:vMerge w:val="restart"/>
            <w:tcBorders>
              <w:top w:val="single" w:sz="8" w:space="0" w:color="auto"/>
              <w:left w:val="single" w:sz="8" w:space="0" w:color="auto"/>
              <w:bottom w:val="nil"/>
              <w:right w:val="single" w:sz="8" w:space="0" w:color="auto"/>
            </w:tcBorders>
            <w:shd w:val="clear" w:color="auto" w:fill="auto"/>
            <w:noWrap/>
            <w:hideMark/>
          </w:tcPr>
          <w:p w:rsidR="00290681" w:rsidRPr="00D1383A" w:rsidRDefault="00956B0D"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ROA</w:t>
            </w:r>
            <w:r w:rsidR="00F96A4C" w:rsidRPr="00D1383A">
              <w:rPr>
                <w:rFonts w:eastAsia="Times New Roman"/>
                <w:i/>
                <w:iCs/>
                <w:color w:val="000000"/>
                <w:sz w:val="22"/>
                <w:szCs w:val="24"/>
                <w:lang w:eastAsia="es-PE"/>
              </w:rPr>
              <w:t xml:space="preserve"> </w:t>
            </w:r>
          </w:p>
          <w:p w:rsidR="00956B0D" w:rsidRPr="00D1383A" w:rsidRDefault="00F96A4C"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(X</w:t>
            </w:r>
            <w:r w:rsidRPr="00D1383A">
              <w:rPr>
                <w:rFonts w:eastAsia="Times New Roman"/>
                <w:i/>
                <w:iCs/>
                <w:color w:val="000000"/>
                <w:sz w:val="22"/>
                <w:szCs w:val="24"/>
                <w:vertAlign w:val="subscript"/>
                <w:lang w:eastAsia="es-PE"/>
              </w:rPr>
              <w:t>3</w:t>
            </w:r>
            <w:r w:rsidRPr="00D1383A">
              <w:rPr>
                <w:rFonts w:eastAsia="Times New Roman"/>
                <w:i/>
                <w:iCs/>
                <w:color w:val="000000"/>
                <w:sz w:val="22"/>
                <w:szCs w:val="24"/>
                <w:lang w:eastAsia="es-PE"/>
              </w:rPr>
              <w:t>)</w:t>
            </w: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Media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0.0189</w:t>
            </w:r>
          </w:p>
        </w:tc>
      </w:tr>
      <w:tr w:rsidR="00956B0D" w:rsidRPr="00353A8D" w:rsidTr="00353A8D">
        <w:trPr>
          <w:trHeight w:val="17"/>
        </w:trPr>
        <w:tc>
          <w:tcPr>
            <w:tcW w:w="2302" w:type="dxa"/>
            <w:vMerge/>
            <w:tcBorders>
              <w:top w:val="single" w:sz="8" w:space="0" w:color="auto"/>
              <w:left w:val="single" w:sz="8" w:space="0" w:color="auto"/>
              <w:bottom w:val="nil"/>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Desviación estándar</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0.0098</w:t>
            </w:r>
          </w:p>
        </w:tc>
      </w:tr>
      <w:tr w:rsidR="00956B0D" w:rsidRPr="00353A8D" w:rsidTr="00353A8D">
        <w:trPr>
          <w:trHeight w:val="17"/>
        </w:trPr>
        <w:tc>
          <w:tcPr>
            <w:tcW w:w="2302" w:type="dxa"/>
            <w:vMerge/>
            <w:tcBorders>
              <w:top w:val="single" w:sz="8" w:space="0" w:color="auto"/>
              <w:left w:val="single" w:sz="8" w:space="0" w:color="auto"/>
              <w:bottom w:val="nil"/>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Varianza de la muestra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0.0001</w:t>
            </w:r>
          </w:p>
        </w:tc>
      </w:tr>
      <w:tr w:rsidR="00956B0D" w:rsidRPr="00353A8D" w:rsidTr="00353A8D">
        <w:trPr>
          <w:trHeight w:val="17"/>
        </w:trPr>
        <w:tc>
          <w:tcPr>
            <w:tcW w:w="2302" w:type="dxa"/>
            <w:vMerge/>
            <w:tcBorders>
              <w:top w:val="single" w:sz="8" w:space="0" w:color="auto"/>
              <w:left w:val="single" w:sz="8" w:space="0" w:color="auto"/>
              <w:bottom w:val="nil"/>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Cuenta</w:t>
            </w:r>
          </w:p>
        </w:tc>
        <w:tc>
          <w:tcPr>
            <w:tcW w:w="3083"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60</w:t>
            </w:r>
          </w:p>
        </w:tc>
      </w:tr>
      <w:tr w:rsidR="00956B0D" w:rsidRPr="00353A8D" w:rsidTr="00353A8D">
        <w:trPr>
          <w:trHeight w:val="17"/>
        </w:trPr>
        <w:tc>
          <w:tcPr>
            <w:tcW w:w="2302"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290681" w:rsidRPr="00D1383A" w:rsidRDefault="00956B0D"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CAL_CARTE</w:t>
            </w:r>
            <w:r w:rsidR="00F96A4C" w:rsidRPr="00D1383A">
              <w:rPr>
                <w:rFonts w:eastAsia="Times New Roman"/>
                <w:i/>
                <w:iCs/>
                <w:color w:val="000000"/>
                <w:sz w:val="22"/>
                <w:szCs w:val="24"/>
                <w:lang w:eastAsia="es-PE"/>
              </w:rPr>
              <w:t xml:space="preserve"> </w:t>
            </w:r>
          </w:p>
          <w:p w:rsidR="00956B0D" w:rsidRPr="00D1383A" w:rsidRDefault="00F96A4C"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(X</w:t>
            </w:r>
            <w:r w:rsidRPr="00D1383A">
              <w:rPr>
                <w:rFonts w:eastAsia="Times New Roman"/>
                <w:i/>
                <w:iCs/>
                <w:color w:val="000000"/>
                <w:sz w:val="22"/>
                <w:szCs w:val="24"/>
                <w:vertAlign w:val="subscript"/>
                <w:lang w:eastAsia="es-PE"/>
              </w:rPr>
              <w:t>4</w:t>
            </w:r>
            <w:r w:rsidRPr="00D1383A">
              <w:rPr>
                <w:rFonts w:eastAsia="Times New Roman"/>
                <w:i/>
                <w:iCs/>
                <w:color w:val="000000"/>
                <w:sz w:val="22"/>
                <w:szCs w:val="24"/>
                <w:lang w:eastAsia="es-PE"/>
              </w:rPr>
              <w:t>)</w:t>
            </w: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Media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6.6621</w:t>
            </w:r>
          </w:p>
        </w:tc>
      </w:tr>
      <w:tr w:rsidR="00956B0D" w:rsidRPr="00353A8D" w:rsidTr="00353A8D">
        <w:trPr>
          <w:trHeight w:val="17"/>
        </w:trPr>
        <w:tc>
          <w:tcPr>
            <w:tcW w:w="2302" w:type="dxa"/>
            <w:vMerge/>
            <w:tcBorders>
              <w:top w:val="single" w:sz="8" w:space="0" w:color="auto"/>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Desviación estándar</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5.3849</w:t>
            </w:r>
          </w:p>
        </w:tc>
      </w:tr>
      <w:tr w:rsidR="00956B0D" w:rsidRPr="00353A8D" w:rsidTr="00353A8D">
        <w:trPr>
          <w:trHeight w:val="17"/>
        </w:trPr>
        <w:tc>
          <w:tcPr>
            <w:tcW w:w="2302" w:type="dxa"/>
            <w:vMerge/>
            <w:tcBorders>
              <w:top w:val="single" w:sz="8" w:space="0" w:color="auto"/>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Varianza de la muestra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28.9966</w:t>
            </w:r>
          </w:p>
        </w:tc>
      </w:tr>
      <w:tr w:rsidR="00956B0D" w:rsidRPr="00353A8D" w:rsidTr="00353A8D">
        <w:trPr>
          <w:trHeight w:val="17"/>
        </w:trPr>
        <w:tc>
          <w:tcPr>
            <w:tcW w:w="2302" w:type="dxa"/>
            <w:vMerge/>
            <w:tcBorders>
              <w:top w:val="single" w:sz="8" w:space="0" w:color="auto"/>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Cuenta</w:t>
            </w:r>
          </w:p>
        </w:tc>
        <w:tc>
          <w:tcPr>
            <w:tcW w:w="3083"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60</w:t>
            </w:r>
          </w:p>
        </w:tc>
      </w:tr>
      <w:tr w:rsidR="00956B0D" w:rsidRPr="00353A8D" w:rsidTr="00353A8D">
        <w:trPr>
          <w:trHeight w:val="17"/>
        </w:trPr>
        <w:tc>
          <w:tcPr>
            <w:tcW w:w="2302" w:type="dxa"/>
            <w:vMerge w:val="restart"/>
            <w:tcBorders>
              <w:top w:val="nil"/>
              <w:left w:val="single" w:sz="8" w:space="0" w:color="auto"/>
              <w:bottom w:val="single" w:sz="8" w:space="0" w:color="000000"/>
              <w:right w:val="single" w:sz="8" w:space="0" w:color="auto"/>
            </w:tcBorders>
            <w:shd w:val="clear" w:color="auto" w:fill="auto"/>
            <w:noWrap/>
            <w:hideMark/>
          </w:tcPr>
          <w:p w:rsidR="00290681" w:rsidRPr="00D1383A" w:rsidRDefault="00956B0D"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REN_CAR</w:t>
            </w:r>
            <w:r w:rsidR="00F96A4C" w:rsidRPr="00D1383A">
              <w:rPr>
                <w:rFonts w:eastAsia="Times New Roman"/>
                <w:i/>
                <w:iCs/>
                <w:color w:val="000000"/>
                <w:sz w:val="22"/>
                <w:szCs w:val="24"/>
                <w:lang w:eastAsia="es-PE"/>
              </w:rPr>
              <w:t xml:space="preserve"> </w:t>
            </w:r>
          </w:p>
          <w:p w:rsidR="00956B0D" w:rsidRPr="00D1383A" w:rsidRDefault="00F96A4C"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(X</w:t>
            </w:r>
            <w:r w:rsidRPr="00D1383A">
              <w:rPr>
                <w:rFonts w:eastAsia="Times New Roman"/>
                <w:i/>
                <w:iCs/>
                <w:color w:val="000000"/>
                <w:sz w:val="22"/>
                <w:szCs w:val="24"/>
                <w:vertAlign w:val="subscript"/>
                <w:lang w:eastAsia="es-PE"/>
              </w:rPr>
              <w:t>5</w:t>
            </w:r>
            <w:r w:rsidRPr="00D1383A">
              <w:rPr>
                <w:rFonts w:eastAsia="Times New Roman"/>
                <w:i/>
                <w:iCs/>
                <w:color w:val="000000"/>
                <w:sz w:val="22"/>
                <w:szCs w:val="24"/>
                <w:lang w:eastAsia="es-PE"/>
              </w:rPr>
              <w:t>)</w:t>
            </w: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Media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0.3854</w:t>
            </w:r>
          </w:p>
        </w:tc>
      </w:tr>
      <w:tr w:rsidR="00956B0D" w:rsidRPr="00353A8D" w:rsidTr="00353A8D">
        <w:trPr>
          <w:trHeight w:val="17"/>
        </w:trPr>
        <w:tc>
          <w:tcPr>
            <w:tcW w:w="2302" w:type="dxa"/>
            <w:vMerge/>
            <w:tcBorders>
              <w:top w:val="nil"/>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Desviación estándar</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0.4495</w:t>
            </w:r>
          </w:p>
        </w:tc>
      </w:tr>
      <w:tr w:rsidR="00956B0D" w:rsidRPr="00353A8D" w:rsidTr="00353A8D">
        <w:trPr>
          <w:trHeight w:val="17"/>
        </w:trPr>
        <w:tc>
          <w:tcPr>
            <w:tcW w:w="2302" w:type="dxa"/>
            <w:vMerge/>
            <w:tcBorders>
              <w:top w:val="nil"/>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Varianza de la muestra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0.2021</w:t>
            </w:r>
          </w:p>
        </w:tc>
      </w:tr>
      <w:tr w:rsidR="00956B0D" w:rsidRPr="00353A8D" w:rsidTr="00353A8D">
        <w:trPr>
          <w:trHeight w:val="17"/>
        </w:trPr>
        <w:tc>
          <w:tcPr>
            <w:tcW w:w="2302" w:type="dxa"/>
            <w:vMerge/>
            <w:tcBorders>
              <w:top w:val="nil"/>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Cuenta</w:t>
            </w:r>
          </w:p>
        </w:tc>
        <w:tc>
          <w:tcPr>
            <w:tcW w:w="3083"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60</w:t>
            </w:r>
          </w:p>
        </w:tc>
      </w:tr>
      <w:tr w:rsidR="00956B0D" w:rsidRPr="00353A8D" w:rsidTr="00353A8D">
        <w:trPr>
          <w:trHeight w:val="17"/>
        </w:trPr>
        <w:tc>
          <w:tcPr>
            <w:tcW w:w="2302" w:type="dxa"/>
            <w:vMerge w:val="restart"/>
            <w:tcBorders>
              <w:top w:val="nil"/>
              <w:left w:val="single" w:sz="8" w:space="0" w:color="auto"/>
              <w:bottom w:val="single" w:sz="8" w:space="0" w:color="000000"/>
              <w:right w:val="single" w:sz="8" w:space="0" w:color="auto"/>
            </w:tcBorders>
            <w:shd w:val="clear" w:color="auto" w:fill="auto"/>
            <w:noWrap/>
            <w:hideMark/>
          </w:tcPr>
          <w:p w:rsidR="00290681" w:rsidRPr="00D1383A" w:rsidRDefault="00956B0D"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IBGC</w:t>
            </w:r>
            <w:r w:rsidR="00F96A4C" w:rsidRPr="00D1383A">
              <w:rPr>
                <w:rFonts w:eastAsia="Times New Roman"/>
                <w:i/>
                <w:iCs/>
                <w:color w:val="000000"/>
                <w:sz w:val="22"/>
                <w:szCs w:val="24"/>
                <w:lang w:eastAsia="es-PE"/>
              </w:rPr>
              <w:t xml:space="preserve"> </w:t>
            </w:r>
          </w:p>
          <w:p w:rsidR="00956B0D" w:rsidRPr="00D1383A" w:rsidRDefault="00F96A4C"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(X</w:t>
            </w:r>
            <w:r w:rsidRPr="00D1383A">
              <w:rPr>
                <w:rFonts w:eastAsia="Times New Roman"/>
                <w:i/>
                <w:iCs/>
                <w:color w:val="000000"/>
                <w:sz w:val="22"/>
                <w:szCs w:val="24"/>
                <w:vertAlign w:val="subscript"/>
                <w:lang w:eastAsia="es-PE"/>
              </w:rPr>
              <w:t>6</w:t>
            </w:r>
            <w:r w:rsidRPr="00D1383A">
              <w:rPr>
                <w:rFonts w:eastAsia="Times New Roman"/>
                <w:i/>
                <w:iCs/>
                <w:color w:val="000000"/>
                <w:sz w:val="22"/>
                <w:szCs w:val="24"/>
                <w:lang w:eastAsia="es-PE"/>
              </w:rPr>
              <w:t>)</w:t>
            </w: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Media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0.5</w:t>
            </w:r>
          </w:p>
        </w:tc>
      </w:tr>
      <w:tr w:rsidR="00956B0D" w:rsidRPr="00353A8D" w:rsidTr="00353A8D">
        <w:trPr>
          <w:trHeight w:val="17"/>
        </w:trPr>
        <w:tc>
          <w:tcPr>
            <w:tcW w:w="2302" w:type="dxa"/>
            <w:vMerge/>
            <w:tcBorders>
              <w:top w:val="nil"/>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Desviación estándar</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0.5042</w:t>
            </w:r>
          </w:p>
        </w:tc>
      </w:tr>
      <w:tr w:rsidR="00956B0D" w:rsidRPr="00353A8D" w:rsidTr="00353A8D">
        <w:trPr>
          <w:trHeight w:val="17"/>
        </w:trPr>
        <w:tc>
          <w:tcPr>
            <w:tcW w:w="2302" w:type="dxa"/>
            <w:vMerge/>
            <w:tcBorders>
              <w:top w:val="nil"/>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Varianza de la muestra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0.2542</w:t>
            </w:r>
          </w:p>
        </w:tc>
      </w:tr>
      <w:tr w:rsidR="00956B0D" w:rsidRPr="00353A8D" w:rsidTr="00353A8D">
        <w:trPr>
          <w:trHeight w:val="17"/>
        </w:trPr>
        <w:tc>
          <w:tcPr>
            <w:tcW w:w="2302" w:type="dxa"/>
            <w:vMerge/>
            <w:tcBorders>
              <w:top w:val="nil"/>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Cuenta</w:t>
            </w:r>
          </w:p>
        </w:tc>
        <w:tc>
          <w:tcPr>
            <w:tcW w:w="3083"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60</w:t>
            </w:r>
          </w:p>
        </w:tc>
      </w:tr>
      <w:tr w:rsidR="00956B0D" w:rsidRPr="00353A8D" w:rsidTr="00353A8D">
        <w:trPr>
          <w:trHeight w:val="17"/>
        </w:trPr>
        <w:tc>
          <w:tcPr>
            <w:tcW w:w="2302" w:type="dxa"/>
            <w:vMerge w:val="restart"/>
            <w:tcBorders>
              <w:top w:val="nil"/>
              <w:left w:val="single" w:sz="8" w:space="0" w:color="auto"/>
              <w:bottom w:val="single" w:sz="8" w:space="0" w:color="000000"/>
              <w:right w:val="single" w:sz="8" w:space="0" w:color="auto"/>
            </w:tcBorders>
            <w:shd w:val="clear" w:color="auto" w:fill="auto"/>
            <w:noWrap/>
            <w:hideMark/>
          </w:tcPr>
          <w:p w:rsidR="00956B0D" w:rsidRPr="00D1383A" w:rsidRDefault="00956B0D" w:rsidP="009D1ED2">
            <w:pPr>
              <w:jc w:val="center"/>
              <w:rPr>
                <w:rFonts w:eastAsia="Times New Roman"/>
                <w:i/>
                <w:iCs/>
                <w:color w:val="000000"/>
                <w:sz w:val="22"/>
                <w:szCs w:val="24"/>
                <w:lang w:eastAsia="es-PE"/>
              </w:rPr>
            </w:pPr>
            <w:r w:rsidRPr="00D1383A">
              <w:rPr>
                <w:rFonts w:eastAsia="Times New Roman"/>
                <w:i/>
                <w:iCs/>
                <w:color w:val="000000"/>
                <w:sz w:val="22"/>
                <w:szCs w:val="24"/>
                <w:lang w:eastAsia="es-PE"/>
              </w:rPr>
              <w:t>Q TOBIN</w:t>
            </w: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Media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1.8304</w:t>
            </w:r>
          </w:p>
        </w:tc>
      </w:tr>
      <w:tr w:rsidR="00956B0D" w:rsidRPr="00353A8D" w:rsidTr="00353A8D">
        <w:trPr>
          <w:trHeight w:val="17"/>
        </w:trPr>
        <w:tc>
          <w:tcPr>
            <w:tcW w:w="2302" w:type="dxa"/>
            <w:vMerge/>
            <w:tcBorders>
              <w:top w:val="nil"/>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Desviación estándar</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0.8134</w:t>
            </w:r>
          </w:p>
        </w:tc>
      </w:tr>
      <w:tr w:rsidR="00956B0D" w:rsidRPr="00353A8D" w:rsidTr="00353A8D">
        <w:trPr>
          <w:trHeight w:val="17"/>
        </w:trPr>
        <w:tc>
          <w:tcPr>
            <w:tcW w:w="2302" w:type="dxa"/>
            <w:vMerge/>
            <w:tcBorders>
              <w:top w:val="nil"/>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Varianza de la muestra</w:t>
            </w:r>
          </w:p>
        </w:tc>
        <w:tc>
          <w:tcPr>
            <w:tcW w:w="3083" w:type="dxa"/>
            <w:tcBorders>
              <w:top w:val="nil"/>
              <w:left w:val="nil"/>
              <w:bottom w:val="nil"/>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0.6616</w:t>
            </w:r>
          </w:p>
        </w:tc>
      </w:tr>
      <w:tr w:rsidR="00956B0D" w:rsidRPr="00353A8D" w:rsidTr="00353A8D">
        <w:trPr>
          <w:trHeight w:val="17"/>
        </w:trPr>
        <w:tc>
          <w:tcPr>
            <w:tcW w:w="2302" w:type="dxa"/>
            <w:vMerge/>
            <w:tcBorders>
              <w:top w:val="nil"/>
              <w:left w:val="single" w:sz="8" w:space="0" w:color="auto"/>
              <w:bottom w:val="single" w:sz="8" w:space="0" w:color="000000"/>
              <w:right w:val="single" w:sz="8" w:space="0" w:color="auto"/>
            </w:tcBorders>
            <w:hideMark/>
          </w:tcPr>
          <w:p w:rsidR="00956B0D" w:rsidRPr="00D1383A" w:rsidRDefault="00956B0D" w:rsidP="009D1ED2">
            <w:pPr>
              <w:jc w:val="center"/>
              <w:rPr>
                <w:rFonts w:eastAsia="Times New Roman"/>
                <w:i/>
                <w:iCs/>
                <w:color w:val="000000"/>
                <w:sz w:val="22"/>
                <w:szCs w:val="24"/>
                <w:lang w:eastAsia="es-PE"/>
              </w:rPr>
            </w:pPr>
          </w:p>
        </w:tc>
        <w:tc>
          <w:tcPr>
            <w:tcW w:w="3391"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Cuenta</w:t>
            </w:r>
          </w:p>
        </w:tc>
        <w:tc>
          <w:tcPr>
            <w:tcW w:w="3083" w:type="dxa"/>
            <w:tcBorders>
              <w:top w:val="nil"/>
              <w:left w:val="nil"/>
              <w:bottom w:val="single" w:sz="8" w:space="0" w:color="auto"/>
              <w:right w:val="single" w:sz="8" w:space="0" w:color="auto"/>
            </w:tcBorders>
            <w:shd w:val="clear" w:color="auto" w:fill="auto"/>
            <w:noWrap/>
            <w:hideMark/>
          </w:tcPr>
          <w:p w:rsidR="00956B0D" w:rsidRPr="00D1383A" w:rsidRDefault="00956B0D" w:rsidP="009D1ED2">
            <w:pPr>
              <w:jc w:val="center"/>
              <w:rPr>
                <w:rFonts w:eastAsia="Times New Roman"/>
                <w:color w:val="000000"/>
                <w:sz w:val="22"/>
                <w:szCs w:val="24"/>
                <w:lang w:eastAsia="es-PE"/>
              </w:rPr>
            </w:pPr>
            <w:r w:rsidRPr="00D1383A">
              <w:rPr>
                <w:rFonts w:eastAsia="Times New Roman"/>
                <w:color w:val="000000"/>
                <w:sz w:val="22"/>
                <w:szCs w:val="24"/>
                <w:lang w:eastAsia="es-PE"/>
              </w:rPr>
              <w:t>60</w:t>
            </w:r>
          </w:p>
        </w:tc>
      </w:tr>
    </w:tbl>
    <w:p w:rsidR="00956B0D" w:rsidRDefault="00F97C66" w:rsidP="00F97C66">
      <w:pPr>
        <w:tabs>
          <w:tab w:val="left" w:pos="5184"/>
        </w:tabs>
      </w:pPr>
      <w:r w:rsidRPr="00F97C66">
        <w:t>Fuente: Elaboración propia</w:t>
      </w:r>
    </w:p>
    <w:p w:rsidR="00353A8D" w:rsidRDefault="00353A8D" w:rsidP="00F97C66">
      <w:pPr>
        <w:tabs>
          <w:tab w:val="left" w:pos="5184"/>
        </w:tabs>
      </w:pPr>
    </w:p>
    <w:p w:rsidR="00254F49" w:rsidRPr="00254F49" w:rsidRDefault="00254F49" w:rsidP="00254F49">
      <w:pPr>
        <w:tabs>
          <w:tab w:val="left" w:pos="5184"/>
        </w:tabs>
        <w:ind w:right="-1"/>
        <w:rPr>
          <w:i/>
        </w:rPr>
      </w:pPr>
      <w:r>
        <w:rPr>
          <w:i/>
        </w:rPr>
        <w:t>Tabla 5</w:t>
      </w:r>
    </w:p>
    <w:p w:rsidR="00254F49" w:rsidRPr="00254F49" w:rsidRDefault="00254F49" w:rsidP="00254F49">
      <w:pPr>
        <w:tabs>
          <w:tab w:val="left" w:pos="5184"/>
        </w:tabs>
        <w:ind w:right="-1"/>
        <w:rPr>
          <w:noProof/>
        </w:rPr>
      </w:pPr>
      <w:r w:rsidRPr="00254F49">
        <w:rPr>
          <w:i/>
        </w:rPr>
        <w:t>Correlaciones entre las variables</w:t>
      </w:r>
      <w:r w:rsidRPr="00254F49">
        <w:rPr>
          <w:noProof/>
        </w:rPr>
        <w:t xml:space="preserve"> </w:t>
      </w:r>
    </w:p>
    <w:p w:rsidR="00254F49" w:rsidRPr="00254F49" w:rsidRDefault="00254F49" w:rsidP="00254F49">
      <w:pPr>
        <w:tabs>
          <w:tab w:val="left" w:pos="5184"/>
        </w:tabs>
        <w:ind w:right="-1"/>
      </w:pPr>
      <w:r w:rsidRPr="00254F49">
        <w:rPr>
          <w:noProof/>
          <w:lang w:eastAsia="es-PE"/>
        </w:rPr>
        <w:drawing>
          <wp:inline distT="0" distB="0" distL="0" distR="0" wp14:anchorId="52905741" wp14:editId="06703AFF">
            <wp:extent cx="5616699" cy="1539240"/>
            <wp:effectExtent l="0" t="0" r="317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18-05-05 a la(s) 7.28.21 p. m..png"/>
                    <pic:cNvPicPr/>
                  </pic:nvPicPr>
                  <pic:blipFill rotWithShape="1">
                    <a:blip r:embed="rId8">
                      <a:extLst>
                        <a:ext uri="{28A0092B-C50C-407E-A947-70E740481C1C}">
                          <a14:useLocalDpi xmlns:a14="http://schemas.microsoft.com/office/drawing/2010/main" val="0"/>
                        </a:ext>
                      </a:extLst>
                    </a:blip>
                    <a:srcRect t="16168" b="9053"/>
                    <a:stretch/>
                  </pic:blipFill>
                  <pic:spPr bwMode="auto">
                    <a:xfrm>
                      <a:off x="0" y="0"/>
                      <a:ext cx="5772640" cy="1581975"/>
                    </a:xfrm>
                    <a:prstGeom prst="rect">
                      <a:avLst/>
                    </a:prstGeom>
                    <a:ln>
                      <a:noFill/>
                    </a:ln>
                    <a:extLst>
                      <a:ext uri="{53640926-AAD7-44D8-BBD7-CCE9431645EC}">
                        <a14:shadowObscured xmlns:a14="http://schemas.microsoft.com/office/drawing/2010/main"/>
                      </a:ext>
                    </a:extLst>
                  </pic:spPr>
                </pic:pic>
              </a:graphicData>
            </a:graphic>
          </wp:inline>
        </w:drawing>
      </w:r>
    </w:p>
    <w:p w:rsidR="00254F49" w:rsidRPr="00254F49" w:rsidRDefault="00254F49" w:rsidP="00254F49">
      <w:pPr>
        <w:tabs>
          <w:tab w:val="left" w:pos="5184"/>
        </w:tabs>
        <w:ind w:right="-1"/>
      </w:pPr>
      <w:r w:rsidRPr="00254F49">
        <w:t>Fuente: Elaboración propia</w:t>
      </w:r>
    </w:p>
    <w:p w:rsidR="00254F49" w:rsidRPr="00254F49" w:rsidRDefault="00254F49" w:rsidP="00F97C66">
      <w:pPr>
        <w:tabs>
          <w:tab w:val="left" w:pos="5184"/>
        </w:tabs>
        <w:rPr>
          <w:b/>
        </w:rPr>
      </w:pPr>
    </w:p>
    <w:p w:rsidR="00956B0D" w:rsidRPr="00C317DE" w:rsidRDefault="00C44461" w:rsidP="00C44461">
      <w:pPr>
        <w:pStyle w:val="Ttulo2"/>
      </w:pPr>
      <w:r>
        <w:t>Primera regresión</w:t>
      </w:r>
    </w:p>
    <w:p w:rsidR="00D1383A" w:rsidRDefault="00F142BD" w:rsidP="00D32E78">
      <w:pPr>
        <w:tabs>
          <w:tab w:val="left" w:pos="5184"/>
        </w:tabs>
      </w:pPr>
      <w:r>
        <w:t xml:space="preserve">Los resultados de la primera regresión muestran que la hipótesis nula se rechaza, cumpliendo la teoría de F&lt;0.05, afirmando la asociación del gobierno corporativo y el valor de los bancos peruanos listados en la BVL. Asimismo, al analizar el R2, se evidencia que las variables independientes explican 65.62% del comportamiento de la variable dependiente. </w:t>
      </w:r>
    </w:p>
    <w:p w:rsidR="00D1383A" w:rsidRDefault="00D1383A" w:rsidP="00D32E78">
      <w:pPr>
        <w:tabs>
          <w:tab w:val="left" w:pos="5184"/>
        </w:tabs>
      </w:pPr>
    </w:p>
    <w:p w:rsidR="00956579" w:rsidRDefault="00290681" w:rsidP="00D32E78">
      <w:pPr>
        <w:tabs>
          <w:tab w:val="left" w:pos="5184"/>
        </w:tabs>
      </w:pPr>
      <w:r>
        <w:t xml:space="preserve">Salvo por la variable de Apalancamiento (APAL), todas las variables independientes probaron su significancia al ser p&lt;0.05. </w:t>
      </w:r>
    </w:p>
    <w:p w:rsidR="00956579" w:rsidRDefault="00956579" w:rsidP="00D32E78">
      <w:pPr>
        <w:tabs>
          <w:tab w:val="left" w:pos="5184"/>
        </w:tabs>
      </w:pPr>
    </w:p>
    <w:p w:rsidR="00956B0D" w:rsidRDefault="00290681" w:rsidP="00D32E78">
      <w:pPr>
        <w:tabs>
          <w:tab w:val="left" w:pos="5184"/>
        </w:tabs>
      </w:pPr>
      <w:r>
        <w:t>En referencia a su relación con la variable dependiente, es decir, el valor económico de los bancos pe</w:t>
      </w:r>
      <w:r w:rsidR="00D32E78">
        <w:t xml:space="preserve">ruanos listados en la bolsa, las variables significativas tienen la siguiente dinámica: </w:t>
      </w:r>
      <w:r>
        <w:t>IBGC tiene una relación directa con el valor económico de los bancos peruanos listados en la bolsa</w:t>
      </w:r>
      <w:r w:rsidR="00D32E78">
        <w:t xml:space="preserve"> con un coeficiente de 0.9285</w:t>
      </w:r>
      <w:r>
        <w:t>; REN_CART tiene una relaci</w:t>
      </w:r>
      <w:r w:rsidR="00D32E78">
        <w:t xml:space="preserve">ón inversa con un coeficiente de -0.6091; CAL_CARTE tiene una relación directa con un coeficiente de 0.1061; ROA tiene una relación directa con un coeficiente de 25.0014 y, finalmente, RAT_EFI tiene una relación inversa con un coeficiente de -2.7844. </w:t>
      </w:r>
      <w:r w:rsidR="0084055A">
        <w:t>La Tabla 6 muestra los resultados obtenidos en la primera regresión utilizando el programa E-</w:t>
      </w:r>
      <w:proofErr w:type="spellStart"/>
      <w:r w:rsidR="0084055A">
        <w:t>Views</w:t>
      </w:r>
      <w:proofErr w:type="spellEnd"/>
      <w:r w:rsidR="0084055A">
        <w:t xml:space="preserve">: </w:t>
      </w:r>
    </w:p>
    <w:p w:rsidR="00D32E78" w:rsidRDefault="00D32E78" w:rsidP="00956B0D">
      <w:pPr>
        <w:tabs>
          <w:tab w:val="left" w:pos="5184"/>
        </w:tabs>
        <w:ind w:left="1"/>
      </w:pPr>
    </w:p>
    <w:p w:rsidR="0084055A" w:rsidRPr="003C287E" w:rsidRDefault="0084055A" w:rsidP="0084055A">
      <w:pPr>
        <w:rPr>
          <w:i/>
        </w:rPr>
      </w:pPr>
      <w:r>
        <w:rPr>
          <w:i/>
        </w:rPr>
        <w:t>Tabla 6</w:t>
      </w:r>
    </w:p>
    <w:p w:rsidR="0084055A" w:rsidRPr="0084055A" w:rsidRDefault="0084055A" w:rsidP="0084055A">
      <w:pPr>
        <w:tabs>
          <w:tab w:val="left" w:pos="5184"/>
        </w:tabs>
        <w:ind w:right="-1"/>
        <w:rPr>
          <w:b/>
          <w:u w:val="single"/>
        </w:rPr>
      </w:pPr>
      <w:r>
        <w:rPr>
          <w:i/>
        </w:rPr>
        <w:t>Resultados de primera regresión</w:t>
      </w:r>
    </w:p>
    <w:tbl>
      <w:tblPr>
        <w:tblW w:w="8757" w:type="dxa"/>
        <w:tblCellMar>
          <w:left w:w="70" w:type="dxa"/>
          <w:right w:w="70" w:type="dxa"/>
        </w:tblCellMar>
        <w:tblLook w:val="04A0" w:firstRow="1" w:lastRow="0" w:firstColumn="1" w:lastColumn="0" w:noHBand="0" w:noVBand="1"/>
      </w:tblPr>
      <w:tblGrid>
        <w:gridCol w:w="3114"/>
        <w:gridCol w:w="694"/>
        <w:gridCol w:w="1007"/>
        <w:gridCol w:w="1232"/>
        <w:gridCol w:w="1478"/>
        <w:gridCol w:w="1232"/>
      </w:tblGrid>
      <w:tr w:rsidR="0084055A" w:rsidRPr="0084055A" w:rsidTr="00601F9B">
        <w:trPr>
          <w:trHeight w:val="258"/>
        </w:trPr>
        <w:tc>
          <w:tcPr>
            <w:tcW w:w="3808"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956B0D" w:rsidRPr="0084055A" w:rsidRDefault="00956B0D" w:rsidP="0084055A">
            <w:pPr>
              <w:ind w:right="-280"/>
              <w:rPr>
                <w:rFonts w:eastAsia="Times New Roman"/>
                <w:b/>
                <w:color w:val="000000"/>
                <w:lang w:eastAsia="es-PE"/>
              </w:rPr>
            </w:pPr>
            <w:r w:rsidRPr="0084055A">
              <w:rPr>
                <w:rFonts w:eastAsia="Times New Roman"/>
                <w:b/>
                <w:color w:val="000000"/>
                <w:lang w:eastAsia="es-PE"/>
              </w:rPr>
              <w:t>Variable Dependiente: Q</w:t>
            </w:r>
            <w:r w:rsidR="00F9704D">
              <w:rPr>
                <w:rFonts w:eastAsia="Times New Roman"/>
                <w:b/>
                <w:color w:val="000000"/>
                <w:lang w:eastAsia="es-PE"/>
              </w:rPr>
              <w:t xml:space="preserve"> </w:t>
            </w:r>
            <w:r w:rsidRPr="0084055A">
              <w:rPr>
                <w:rFonts w:eastAsia="Times New Roman"/>
                <w:b/>
                <w:color w:val="000000"/>
                <w:lang w:eastAsia="es-PE"/>
              </w:rPr>
              <w:t>TOBIN</w:t>
            </w:r>
          </w:p>
        </w:tc>
        <w:tc>
          <w:tcPr>
            <w:tcW w:w="1007"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c>
          <w:tcPr>
            <w:tcW w:w="1232"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c>
          <w:tcPr>
            <w:tcW w:w="1478"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c>
          <w:tcPr>
            <w:tcW w:w="1232" w:type="dxa"/>
            <w:tcBorders>
              <w:top w:val="single" w:sz="4" w:space="0" w:color="auto"/>
              <w:left w:val="nil"/>
              <w:bottom w:val="single" w:sz="4" w:space="0" w:color="auto"/>
              <w:right w:val="single" w:sz="4" w:space="0" w:color="auto"/>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r>
      <w:tr w:rsidR="00F9704D" w:rsidRPr="0084055A" w:rsidTr="00095A19">
        <w:trPr>
          <w:trHeight w:val="258"/>
        </w:trPr>
        <w:tc>
          <w:tcPr>
            <w:tcW w:w="8757"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9704D" w:rsidRPr="0084055A" w:rsidRDefault="00F9704D" w:rsidP="00F9704D">
            <w:pPr>
              <w:ind w:right="-280"/>
              <w:rPr>
                <w:rFonts w:eastAsia="Times New Roman"/>
                <w:b/>
                <w:color w:val="000000"/>
                <w:lang w:eastAsia="es-PE"/>
              </w:rPr>
            </w:pPr>
            <w:r w:rsidRPr="0084055A">
              <w:rPr>
                <w:rFonts w:eastAsia="Times New Roman"/>
                <w:b/>
                <w:color w:val="000000"/>
                <w:lang w:eastAsia="es-PE"/>
              </w:rPr>
              <w:t>Método: Panel Mínimos cuadrados</w:t>
            </w:r>
          </w:p>
        </w:tc>
      </w:tr>
      <w:tr w:rsidR="0084055A" w:rsidRPr="0084055A" w:rsidTr="00601F9B">
        <w:trPr>
          <w:trHeight w:val="258"/>
        </w:trPr>
        <w:tc>
          <w:tcPr>
            <w:tcW w:w="3114" w:type="dxa"/>
            <w:tcBorders>
              <w:top w:val="single" w:sz="4" w:space="0" w:color="auto"/>
              <w:left w:val="single" w:sz="4" w:space="0" w:color="auto"/>
              <w:bottom w:val="single" w:sz="4" w:space="0" w:color="auto"/>
              <w:right w:val="nil"/>
            </w:tcBorders>
            <w:shd w:val="clear" w:color="000000" w:fill="FFFFFF"/>
            <w:noWrap/>
            <w:vAlign w:val="bottom"/>
            <w:hideMark/>
          </w:tcPr>
          <w:p w:rsidR="00956B0D" w:rsidRPr="0084055A" w:rsidRDefault="00956B0D" w:rsidP="0084055A">
            <w:pPr>
              <w:ind w:right="-280"/>
              <w:rPr>
                <w:rFonts w:eastAsia="Times New Roman"/>
                <w:b/>
                <w:color w:val="000000"/>
                <w:lang w:eastAsia="es-PE"/>
              </w:rPr>
            </w:pPr>
            <w:r w:rsidRPr="0084055A">
              <w:rPr>
                <w:rFonts w:eastAsia="Times New Roman"/>
                <w:b/>
                <w:color w:val="000000"/>
                <w:lang w:eastAsia="es-PE"/>
              </w:rPr>
              <w:t>Muestra: 2011 - 2016</w:t>
            </w:r>
          </w:p>
        </w:tc>
        <w:tc>
          <w:tcPr>
            <w:tcW w:w="694"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84055A">
            <w:pPr>
              <w:ind w:right="-280"/>
              <w:rPr>
                <w:rFonts w:eastAsia="Times New Roman"/>
                <w:b/>
                <w:color w:val="000000"/>
                <w:lang w:eastAsia="es-PE"/>
              </w:rPr>
            </w:pPr>
            <w:r w:rsidRPr="0084055A">
              <w:rPr>
                <w:rFonts w:eastAsia="Times New Roman"/>
                <w:b/>
                <w:color w:val="000000"/>
                <w:lang w:eastAsia="es-PE"/>
              </w:rPr>
              <w:t> </w:t>
            </w:r>
          </w:p>
        </w:tc>
        <w:tc>
          <w:tcPr>
            <w:tcW w:w="1007"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c>
          <w:tcPr>
            <w:tcW w:w="1232"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c>
          <w:tcPr>
            <w:tcW w:w="1478"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c>
          <w:tcPr>
            <w:tcW w:w="1232" w:type="dxa"/>
            <w:tcBorders>
              <w:top w:val="single" w:sz="4" w:space="0" w:color="auto"/>
              <w:left w:val="nil"/>
              <w:bottom w:val="single" w:sz="4" w:space="0" w:color="auto"/>
              <w:right w:val="single" w:sz="4" w:space="0" w:color="auto"/>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r>
      <w:tr w:rsidR="0084055A" w:rsidRPr="0084055A" w:rsidTr="00601F9B">
        <w:trPr>
          <w:trHeight w:val="258"/>
        </w:trPr>
        <w:tc>
          <w:tcPr>
            <w:tcW w:w="3114" w:type="dxa"/>
            <w:tcBorders>
              <w:top w:val="single" w:sz="4" w:space="0" w:color="auto"/>
              <w:left w:val="single" w:sz="4" w:space="0" w:color="auto"/>
              <w:bottom w:val="single" w:sz="4" w:space="0" w:color="auto"/>
              <w:right w:val="nil"/>
            </w:tcBorders>
            <w:shd w:val="clear" w:color="000000" w:fill="FFFFFF"/>
            <w:noWrap/>
            <w:vAlign w:val="bottom"/>
            <w:hideMark/>
          </w:tcPr>
          <w:p w:rsidR="00956B0D" w:rsidRPr="0084055A" w:rsidRDefault="00956B0D" w:rsidP="0084055A">
            <w:pPr>
              <w:ind w:right="-280"/>
              <w:rPr>
                <w:rFonts w:eastAsia="Times New Roman"/>
                <w:b/>
                <w:color w:val="000000"/>
                <w:lang w:eastAsia="es-PE"/>
              </w:rPr>
            </w:pPr>
            <w:r w:rsidRPr="0084055A">
              <w:rPr>
                <w:rFonts w:eastAsia="Times New Roman"/>
                <w:b/>
                <w:color w:val="000000"/>
                <w:lang w:eastAsia="es-PE"/>
              </w:rPr>
              <w:t>Periodos incluidos: 6</w:t>
            </w:r>
          </w:p>
        </w:tc>
        <w:tc>
          <w:tcPr>
            <w:tcW w:w="694"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84055A">
            <w:pPr>
              <w:ind w:right="-280"/>
              <w:rPr>
                <w:rFonts w:eastAsia="Times New Roman"/>
                <w:b/>
                <w:color w:val="000000"/>
                <w:lang w:eastAsia="es-PE"/>
              </w:rPr>
            </w:pPr>
            <w:r w:rsidRPr="0084055A">
              <w:rPr>
                <w:rFonts w:eastAsia="Times New Roman"/>
                <w:b/>
                <w:color w:val="000000"/>
                <w:lang w:eastAsia="es-PE"/>
              </w:rPr>
              <w:t> </w:t>
            </w:r>
          </w:p>
        </w:tc>
        <w:tc>
          <w:tcPr>
            <w:tcW w:w="1007"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c>
          <w:tcPr>
            <w:tcW w:w="1232"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c>
          <w:tcPr>
            <w:tcW w:w="1478" w:type="dxa"/>
            <w:tcBorders>
              <w:top w:val="single" w:sz="4" w:space="0" w:color="auto"/>
              <w:left w:val="nil"/>
              <w:bottom w:val="single" w:sz="4" w:space="0" w:color="auto"/>
              <w:right w:val="nil"/>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c>
          <w:tcPr>
            <w:tcW w:w="1232" w:type="dxa"/>
            <w:tcBorders>
              <w:top w:val="single" w:sz="4" w:space="0" w:color="auto"/>
              <w:left w:val="nil"/>
              <w:bottom w:val="single" w:sz="4" w:space="0" w:color="auto"/>
              <w:right w:val="single" w:sz="4" w:space="0" w:color="auto"/>
            </w:tcBorders>
            <w:shd w:val="clear" w:color="000000" w:fill="FFFFFF"/>
            <w:noWrap/>
            <w:vAlign w:val="bottom"/>
            <w:hideMark/>
          </w:tcPr>
          <w:p w:rsidR="00956B0D" w:rsidRPr="0084055A" w:rsidRDefault="00956B0D" w:rsidP="009D1ED2">
            <w:pPr>
              <w:rPr>
                <w:rFonts w:eastAsia="Times New Roman"/>
                <w:b/>
                <w:color w:val="000000"/>
                <w:lang w:eastAsia="es-PE"/>
              </w:rPr>
            </w:pPr>
            <w:r w:rsidRPr="0084055A">
              <w:rPr>
                <w:rFonts w:eastAsia="Times New Roman"/>
                <w:b/>
                <w:color w:val="000000"/>
                <w:lang w:eastAsia="es-PE"/>
              </w:rPr>
              <w:t> </w:t>
            </w:r>
          </w:p>
        </w:tc>
      </w:tr>
      <w:tr w:rsidR="00601F9B" w:rsidRPr="0084055A" w:rsidTr="00601F9B">
        <w:trPr>
          <w:trHeight w:val="282"/>
        </w:trPr>
        <w:tc>
          <w:tcPr>
            <w:tcW w:w="8757"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055A" w:rsidRPr="0084055A" w:rsidRDefault="0084055A" w:rsidP="0084055A">
            <w:pPr>
              <w:ind w:right="-280"/>
              <w:rPr>
                <w:rFonts w:eastAsia="Times New Roman"/>
                <w:b/>
                <w:color w:val="000000"/>
                <w:lang w:eastAsia="es-PE"/>
              </w:rPr>
            </w:pPr>
            <w:r w:rsidRPr="0084055A">
              <w:rPr>
                <w:rFonts w:eastAsia="Times New Roman"/>
                <w:b/>
                <w:color w:val="000000"/>
                <w:lang w:eastAsia="es-PE"/>
              </w:rPr>
              <w:t>Secciones transversales incluidas: 10</w:t>
            </w:r>
          </w:p>
        </w:tc>
      </w:tr>
      <w:tr w:rsidR="00601F9B" w:rsidRPr="0084055A" w:rsidTr="00601F9B">
        <w:trPr>
          <w:trHeight w:val="258"/>
        </w:trPr>
        <w:tc>
          <w:tcPr>
            <w:tcW w:w="8757"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1F9B" w:rsidRPr="0084055A" w:rsidRDefault="00601F9B" w:rsidP="00601F9B">
            <w:pPr>
              <w:ind w:right="-280"/>
              <w:rPr>
                <w:rFonts w:eastAsia="Times New Roman"/>
                <w:b/>
                <w:color w:val="000000"/>
                <w:lang w:eastAsia="es-PE"/>
              </w:rPr>
            </w:pPr>
            <w:r w:rsidRPr="0084055A">
              <w:rPr>
                <w:rFonts w:eastAsia="Times New Roman"/>
                <w:b/>
                <w:color w:val="000000"/>
                <w:lang w:eastAsia="es-PE"/>
              </w:rPr>
              <w:t>Total panel (equilibrado) observaciones: 60</w:t>
            </w:r>
          </w:p>
        </w:tc>
      </w:tr>
      <w:tr w:rsidR="0084055A" w:rsidRPr="007F577C" w:rsidTr="00601F9B">
        <w:trPr>
          <w:trHeight w:val="279"/>
        </w:trPr>
        <w:tc>
          <w:tcPr>
            <w:tcW w:w="3114" w:type="dxa"/>
            <w:tcBorders>
              <w:top w:val="single" w:sz="4" w:space="0" w:color="auto"/>
              <w:left w:val="single" w:sz="4" w:space="0" w:color="auto"/>
              <w:bottom w:val="single" w:sz="4" w:space="0" w:color="auto"/>
              <w:right w:val="nil"/>
            </w:tcBorders>
            <w:shd w:val="clear" w:color="auto" w:fill="auto"/>
            <w:noWrap/>
            <w:vAlign w:val="center"/>
            <w:hideMark/>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Variable</w:t>
            </w:r>
          </w:p>
        </w:tc>
        <w:tc>
          <w:tcPr>
            <w:tcW w:w="1701" w:type="dxa"/>
            <w:gridSpan w:val="2"/>
            <w:tcBorders>
              <w:top w:val="single" w:sz="4" w:space="0" w:color="auto"/>
              <w:left w:val="nil"/>
              <w:bottom w:val="single" w:sz="4" w:space="0" w:color="auto"/>
              <w:right w:val="nil"/>
            </w:tcBorders>
            <w:shd w:val="clear" w:color="auto" w:fill="auto"/>
            <w:noWrap/>
            <w:vAlign w:val="center"/>
            <w:hideMark/>
          </w:tcPr>
          <w:p w:rsidR="00956B0D" w:rsidRPr="005B7302" w:rsidRDefault="00956B0D" w:rsidP="0084055A">
            <w:pPr>
              <w:ind w:right="-280"/>
              <w:jc w:val="center"/>
              <w:rPr>
                <w:rFonts w:eastAsia="Times New Roman"/>
                <w:b/>
                <w:color w:val="000000"/>
                <w:lang w:eastAsia="es-PE"/>
              </w:rPr>
            </w:pPr>
            <w:proofErr w:type="spellStart"/>
            <w:r w:rsidRPr="005B7302">
              <w:rPr>
                <w:rFonts w:eastAsia="Times New Roman"/>
                <w:b/>
                <w:color w:val="000000"/>
                <w:lang w:eastAsia="es-PE"/>
              </w:rPr>
              <w:t>Coefficient</w:t>
            </w:r>
            <w:proofErr w:type="spellEnd"/>
          </w:p>
        </w:tc>
        <w:tc>
          <w:tcPr>
            <w:tcW w:w="1232" w:type="dxa"/>
            <w:tcBorders>
              <w:top w:val="single" w:sz="4" w:space="0" w:color="auto"/>
              <w:left w:val="nil"/>
              <w:bottom w:val="single" w:sz="4" w:space="0" w:color="auto"/>
              <w:right w:val="nil"/>
            </w:tcBorders>
            <w:shd w:val="clear" w:color="auto" w:fill="auto"/>
            <w:noWrap/>
            <w:vAlign w:val="center"/>
            <w:hideMark/>
          </w:tcPr>
          <w:p w:rsidR="00956B0D" w:rsidRPr="007F577C" w:rsidRDefault="00956B0D" w:rsidP="009D1ED2">
            <w:pPr>
              <w:jc w:val="center"/>
              <w:rPr>
                <w:rFonts w:eastAsia="Times New Roman"/>
                <w:color w:val="000000"/>
                <w:lang w:eastAsia="es-PE"/>
              </w:rPr>
            </w:pPr>
            <w:proofErr w:type="spellStart"/>
            <w:r w:rsidRPr="007F577C">
              <w:rPr>
                <w:rFonts w:eastAsia="Times New Roman"/>
                <w:color w:val="000000"/>
                <w:lang w:eastAsia="es-PE"/>
              </w:rPr>
              <w:t>Std</w:t>
            </w:r>
            <w:proofErr w:type="spellEnd"/>
            <w:r w:rsidRPr="007F577C">
              <w:rPr>
                <w:rFonts w:eastAsia="Times New Roman"/>
                <w:color w:val="000000"/>
                <w:lang w:eastAsia="es-PE"/>
              </w:rPr>
              <w:t xml:space="preserve"> Error</w:t>
            </w:r>
          </w:p>
        </w:tc>
        <w:tc>
          <w:tcPr>
            <w:tcW w:w="1478" w:type="dxa"/>
            <w:tcBorders>
              <w:top w:val="single" w:sz="4" w:space="0" w:color="auto"/>
              <w:left w:val="nil"/>
              <w:bottom w:val="single" w:sz="4" w:space="0" w:color="auto"/>
              <w:right w:val="nil"/>
            </w:tcBorders>
            <w:shd w:val="clear" w:color="auto" w:fill="auto"/>
            <w:noWrap/>
            <w:vAlign w:val="center"/>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t-</w:t>
            </w:r>
            <w:proofErr w:type="spellStart"/>
            <w:r w:rsidRPr="007F577C">
              <w:rPr>
                <w:rFonts w:eastAsia="Times New Roman"/>
                <w:color w:val="000000"/>
                <w:lang w:eastAsia="es-PE"/>
              </w:rPr>
              <w:t>Statistic</w:t>
            </w:r>
            <w:proofErr w:type="spellEnd"/>
          </w:p>
        </w:tc>
        <w:tc>
          <w:tcPr>
            <w:tcW w:w="1232" w:type="dxa"/>
            <w:tcBorders>
              <w:top w:val="single" w:sz="4" w:space="0" w:color="auto"/>
              <w:left w:val="nil"/>
              <w:bottom w:val="single" w:sz="4" w:space="0" w:color="auto"/>
              <w:right w:val="single" w:sz="4" w:space="0" w:color="auto"/>
            </w:tcBorders>
            <w:shd w:val="clear" w:color="auto" w:fill="auto"/>
            <w:noWrap/>
            <w:vAlign w:val="center"/>
            <w:hideMark/>
          </w:tcPr>
          <w:p w:rsidR="00956B0D" w:rsidRPr="007F577C" w:rsidRDefault="00956B0D" w:rsidP="009D1ED2">
            <w:pPr>
              <w:jc w:val="center"/>
              <w:rPr>
                <w:rFonts w:eastAsia="Times New Roman"/>
                <w:color w:val="000000"/>
                <w:lang w:eastAsia="es-PE"/>
              </w:rPr>
            </w:pPr>
            <w:proofErr w:type="spellStart"/>
            <w:r w:rsidRPr="007F577C">
              <w:rPr>
                <w:rFonts w:eastAsia="Times New Roman"/>
                <w:color w:val="000000"/>
                <w:lang w:eastAsia="es-PE"/>
              </w:rPr>
              <w:t>Prob</w:t>
            </w:r>
            <w:proofErr w:type="spellEnd"/>
            <w:r w:rsidRPr="007F577C">
              <w:rPr>
                <w:rFonts w:eastAsia="Times New Roman"/>
                <w:color w:val="000000"/>
                <w:lang w:eastAsia="es-PE"/>
              </w:rPr>
              <w:t>.</w:t>
            </w:r>
          </w:p>
        </w:tc>
      </w:tr>
      <w:tr w:rsidR="0084055A" w:rsidRPr="007F577C" w:rsidTr="00601F9B">
        <w:trPr>
          <w:trHeight w:val="269"/>
        </w:trPr>
        <w:tc>
          <w:tcPr>
            <w:tcW w:w="3114" w:type="dxa"/>
            <w:tcBorders>
              <w:top w:val="single" w:sz="4" w:space="0" w:color="auto"/>
              <w:left w:val="single" w:sz="4" w:space="0" w:color="auto"/>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APAL</w:t>
            </w:r>
          </w:p>
        </w:tc>
        <w:tc>
          <w:tcPr>
            <w:tcW w:w="1701" w:type="dxa"/>
            <w:gridSpan w:val="2"/>
            <w:tcBorders>
              <w:top w:val="single" w:sz="4" w:space="0" w:color="auto"/>
              <w:left w:val="nil"/>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0.004137</w:t>
            </w:r>
          </w:p>
        </w:tc>
        <w:tc>
          <w:tcPr>
            <w:tcW w:w="1232" w:type="dxa"/>
            <w:tcBorders>
              <w:top w:val="single" w:sz="4" w:space="0" w:color="auto"/>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0.082324</w:t>
            </w:r>
          </w:p>
        </w:tc>
        <w:tc>
          <w:tcPr>
            <w:tcW w:w="1478" w:type="dxa"/>
            <w:tcBorders>
              <w:top w:val="single" w:sz="4" w:space="0" w:color="auto"/>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0.050254</w:t>
            </w:r>
          </w:p>
        </w:tc>
        <w:tc>
          <w:tcPr>
            <w:tcW w:w="1232" w:type="dxa"/>
            <w:tcBorders>
              <w:top w:val="single" w:sz="4" w:space="0" w:color="auto"/>
              <w:left w:val="nil"/>
              <w:bottom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0.9601</w:t>
            </w:r>
          </w:p>
        </w:tc>
      </w:tr>
      <w:tr w:rsidR="0084055A" w:rsidRPr="007F577C" w:rsidTr="00601F9B">
        <w:trPr>
          <w:trHeight w:val="269"/>
        </w:trPr>
        <w:tc>
          <w:tcPr>
            <w:tcW w:w="3114" w:type="dxa"/>
            <w:tcBorders>
              <w:top w:val="nil"/>
              <w:left w:val="single" w:sz="4" w:space="0" w:color="auto"/>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RAT_EFI</w:t>
            </w:r>
          </w:p>
        </w:tc>
        <w:tc>
          <w:tcPr>
            <w:tcW w:w="1701" w:type="dxa"/>
            <w:gridSpan w:val="2"/>
            <w:tcBorders>
              <w:top w:val="nil"/>
              <w:left w:val="nil"/>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-2.784392</w:t>
            </w:r>
          </w:p>
        </w:tc>
        <w:tc>
          <w:tcPr>
            <w:tcW w:w="1232"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0.705094</w:t>
            </w:r>
          </w:p>
        </w:tc>
        <w:tc>
          <w:tcPr>
            <w:tcW w:w="1478"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-3.948965</w:t>
            </w:r>
          </w:p>
        </w:tc>
        <w:tc>
          <w:tcPr>
            <w:tcW w:w="1232" w:type="dxa"/>
            <w:tcBorders>
              <w:top w:val="nil"/>
              <w:left w:val="nil"/>
              <w:bottom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0.0002</w:t>
            </w:r>
          </w:p>
        </w:tc>
      </w:tr>
      <w:tr w:rsidR="0084055A" w:rsidRPr="007F577C" w:rsidTr="00601F9B">
        <w:trPr>
          <w:trHeight w:val="269"/>
        </w:trPr>
        <w:tc>
          <w:tcPr>
            <w:tcW w:w="3114" w:type="dxa"/>
            <w:tcBorders>
              <w:top w:val="nil"/>
              <w:left w:val="single" w:sz="4" w:space="0" w:color="auto"/>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ROA</w:t>
            </w:r>
          </w:p>
        </w:tc>
        <w:tc>
          <w:tcPr>
            <w:tcW w:w="1701" w:type="dxa"/>
            <w:gridSpan w:val="2"/>
            <w:tcBorders>
              <w:top w:val="nil"/>
              <w:left w:val="nil"/>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25.00148</w:t>
            </w:r>
          </w:p>
        </w:tc>
        <w:tc>
          <w:tcPr>
            <w:tcW w:w="1232"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7.181696</w:t>
            </w:r>
          </w:p>
        </w:tc>
        <w:tc>
          <w:tcPr>
            <w:tcW w:w="1478"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3.481278</w:t>
            </w:r>
          </w:p>
        </w:tc>
        <w:tc>
          <w:tcPr>
            <w:tcW w:w="1232" w:type="dxa"/>
            <w:tcBorders>
              <w:top w:val="nil"/>
              <w:left w:val="nil"/>
              <w:bottom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0.0010</w:t>
            </w:r>
          </w:p>
        </w:tc>
      </w:tr>
      <w:tr w:rsidR="0084055A" w:rsidRPr="007F577C" w:rsidTr="00601F9B">
        <w:trPr>
          <w:trHeight w:val="258"/>
        </w:trPr>
        <w:tc>
          <w:tcPr>
            <w:tcW w:w="3114" w:type="dxa"/>
            <w:tcBorders>
              <w:top w:val="nil"/>
              <w:left w:val="single" w:sz="4" w:space="0" w:color="auto"/>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lastRenderedPageBreak/>
              <w:t>CAL_CARTE</w:t>
            </w:r>
          </w:p>
        </w:tc>
        <w:tc>
          <w:tcPr>
            <w:tcW w:w="1701" w:type="dxa"/>
            <w:gridSpan w:val="2"/>
            <w:tcBorders>
              <w:top w:val="nil"/>
              <w:left w:val="nil"/>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0.106087</w:t>
            </w:r>
          </w:p>
        </w:tc>
        <w:tc>
          <w:tcPr>
            <w:tcW w:w="1232"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0.018913</w:t>
            </w:r>
          </w:p>
        </w:tc>
        <w:tc>
          <w:tcPr>
            <w:tcW w:w="1478"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5.609136</w:t>
            </w:r>
          </w:p>
        </w:tc>
        <w:tc>
          <w:tcPr>
            <w:tcW w:w="1232" w:type="dxa"/>
            <w:tcBorders>
              <w:top w:val="nil"/>
              <w:left w:val="nil"/>
              <w:bottom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0.0000</w:t>
            </w:r>
          </w:p>
        </w:tc>
      </w:tr>
      <w:tr w:rsidR="0084055A" w:rsidRPr="007F577C" w:rsidTr="00601F9B">
        <w:trPr>
          <w:trHeight w:val="258"/>
        </w:trPr>
        <w:tc>
          <w:tcPr>
            <w:tcW w:w="3114" w:type="dxa"/>
            <w:tcBorders>
              <w:top w:val="nil"/>
              <w:left w:val="single" w:sz="4" w:space="0" w:color="auto"/>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REN_CART</w:t>
            </w:r>
          </w:p>
        </w:tc>
        <w:tc>
          <w:tcPr>
            <w:tcW w:w="1701" w:type="dxa"/>
            <w:gridSpan w:val="2"/>
            <w:tcBorders>
              <w:top w:val="nil"/>
              <w:left w:val="nil"/>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-0.609159</w:t>
            </w:r>
          </w:p>
        </w:tc>
        <w:tc>
          <w:tcPr>
            <w:tcW w:w="1232"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0.263796</w:t>
            </w:r>
          </w:p>
        </w:tc>
        <w:tc>
          <w:tcPr>
            <w:tcW w:w="1478"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-2.309204</w:t>
            </w:r>
          </w:p>
        </w:tc>
        <w:tc>
          <w:tcPr>
            <w:tcW w:w="1232" w:type="dxa"/>
            <w:tcBorders>
              <w:top w:val="nil"/>
              <w:left w:val="nil"/>
              <w:bottom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0.0249</w:t>
            </w:r>
          </w:p>
        </w:tc>
      </w:tr>
      <w:tr w:rsidR="0084055A" w:rsidRPr="007F577C" w:rsidTr="00601F9B">
        <w:trPr>
          <w:trHeight w:val="258"/>
        </w:trPr>
        <w:tc>
          <w:tcPr>
            <w:tcW w:w="3114" w:type="dxa"/>
            <w:tcBorders>
              <w:top w:val="nil"/>
              <w:left w:val="single" w:sz="4" w:space="0" w:color="auto"/>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IBGC</w:t>
            </w:r>
          </w:p>
        </w:tc>
        <w:tc>
          <w:tcPr>
            <w:tcW w:w="1701" w:type="dxa"/>
            <w:gridSpan w:val="2"/>
            <w:tcBorders>
              <w:top w:val="nil"/>
              <w:left w:val="nil"/>
              <w:bottom w:val="nil"/>
              <w:right w:val="nil"/>
            </w:tcBorders>
            <w:shd w:val="clear" w:color="000000" w:fill="FFFFFF"/>
            <w:noWrap/>
            <w:vAlign w:val="bottom"/>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0.928582</w:t>
            </w:r>
          </w:p>
        </w:tc>
        <w:tc>
          <w:tcPr>
            <w:tcW w:w="1232"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0.197483</w:t>
            </w:r>
          </w:p>
        </w:tc>
        <w:tc>
          <w:tcPr>
            <w:tcW w:w="1478"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4.702073</w:t>
            </w:r>
          </w:p>
        </w:tc>
        <w:tc>
          <w:tcPr>
            <w:tcW w:w="1232" w:type="dxa"/>
            <w:tcBorders>
              <w:top w:val="nil"/>
              <w:left w:val="nil"/>
              <w:bottom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0.0000</w:t>
            </w:r>
          </w:p>
        </w:tc>
      </w:tr>
      <w:tr w:rsidR="0084055A" w:rsidRPr="007F577C" w:rsidTr="00601F9B">
        <w:trPr>
          <w:trHeight w:val="312"/>
        </w:trPr>
        <w:tc>
          <w:tcPr>
            <w:tcW w:w="3114" w:type="dxa"/>
            <w:tcBorders>
              <w:top w:val="nil"/>
              <w:left w:val="single" w:sz="4" w:space="0" w:color="auto"/>
              <w:bottom w:val="single" w:sz="4" w:space="0" w:color="auto"/>
              <w:right w:val="nil"/>
            </w:tcBorders>
            <w:shd w:val="clear" w:color="000000" w:fill="FFFFFF"/>
            <w:noWrap/>
            <w:vAlign w:val="bottom"/>
            <w:hideMark/>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C</w:t>
            </w:r>
          </w:p>
        </w:tc>
        <w:tc>
          <w:tcPr>
            <w:tcW w:w="1701" w:type="dxa"/>
            <w:gridSpan w:val="2"/>
            <w:tcBorders>
              <w:top w:val="nil"/>
              <w:left w:val="nil"/>
              <w:bottom w:val="single" w:sz="4" w:space="0" w:color="auto"/>
              <w:right w:val="nil"/>
            </w:tcBorders>
            <w:shd w:val="clear" w:color="000000" w:fill="FFFFFF"/>
            <w:noWrap/>
            <w:vAlign w:val="bottom"/>
            <w:hideMark/>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1.919368</w:t>
            </w:r>
          </w:p>
        </w:tc>
        <w:tc>
          <w:tcPr>
            <w:tcW w:w="1232" w:type="dxa"/>
            <w:tcBorders>
              <w:top w:val="nil"/>
              <w:left w:val="nil"/>
              <w:bottom w:val="single" w:sz="4" w:space="0" w:color="auto"/>
              <w:right w:val="nil"/>
            </w:tcBorders>
            <w:shd w:val="clear" w:color="000000" w:fill="FFFFFF"/>
            <w:noWrap/>
            <w:vAlign w:val="center"/>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0.551338</w:t>
            </w:r>
          </w:p>
        </w:tc>
        <w:tc>
          <w:tcPr>
            <w:tcW w:w="1478" w:type="dxa"/>
            <w:tcBorders>
              <w:top w:val="nil"/>
              <w:left w:val="nil"/>
              <w:bottom w:val="single" w:sz="4" w:space="0" w:color="auto"/>
              <w:right w:val="nil"/>
            </w:tcBorders>
            <w:shd w:val="clear" w:color="000000" w:fill="FFFFFF"/>
            <w:noWrap/>
            <w:vAlign w:val="center"/>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3.479477</w:t>
            </w:r>
          </w:p>
        </w:tc>
        <w:tc>
          <w:tcPr>
            <w:tcW w:w="1232" w:type="dxa"/>
            <w:tcBorders>
              <w:top w:val="nil"/>
              <w:left w:val="nil"/>
              <w:bottom w:val="single" w:sz="4" w:space="0" w:color="auto"/>
              <w:right w:val="single" w:sz="4" w:space="0" w:color="auto"/>
            </w:tcBorders>
            <w:shd w:val="clear" w:color="000000" w:fill="FFFFFF"/>
            <w:noWrap/>
            <w:vAlign w:val="center"/>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0.001</w:t>
            </w:r>
          </w:p>
        </w:tc>
      </w:tr>
      <w:tr w:rsidR="0084055A" w:rsidRPr="007F577C" w:rsidTr="00601F9B">
        <w:trPr>
          <w:trHeight w:val="269"/>
        </w:trPr>
        <w:tc>
          <w:tcPr>
            <w:tcW w:w="3114" w:type="dxa"/>
            <w:tcBorders>
              <w:top w:val="single" w:sz="4" w:space="0" w:color="auto"/>
              <w:left w:val="single" w:sz="4" w:space="0" w:color="auto"/>
              <w:bottom w:val="nil"/>
              <w:right w:val="nil"/>
            </w:tcBorders>
            <w:shd w:val="clear" w:color="000000" w:fill="FFFFFF"/>
            <w:noWrap/>
            <w:vAlign w:val="bottom"/>
            <w:hideMark/>
          </w:tcPr>
          <w:p w:rsidR="00956B0D" w:rsidRPr="005B7302" w:rsidRDefault="00956B0D" w:rsidP="0084055A">
            <w:pPr>
              <w:ind w:right="-280"/>
              <w:rPr>
                <w:rFonts w:eastAsia="Times New Roman"/>
                <w:b/>
                <w:color w:val="000000"/>
                <w:lang w:eastAsia="es-PE"/>
              </w:rPr>
            </w:pPr>
            <w:r w:rsidRPr="005B7302">
              <w:rPr>
                <w:rFonts w:eastAsia="Times New Roman"/>
                <w:b/>
                <w:color w:val="000000"/>
                <w:lang w:eastAsia="es-PE"/>
              </w:rPr>
              <w:t>R-</w:t>
            </w:r>
            <w:proofErr w:type="spellStart"/>
            <w:r w:rsidRPr="005B7302">
              <w:rPr>
                <w:rFonts w:eastAsia="Times New Roman"/>
                <w:b/>
                <w:color w:val="000000"/>
                <w:lang w:eastAsia="es-PE"/>
              </w:rPr>
              <w:t>squared</w:t>
            </w:r>
            <w:proofErr w:type="spellEnd"/>
          </w:p>
        </w:tc>
        <w:tc>
          <w:tcPr>
            <w:tcW w:w="1701" w:type="dxa"/>
            <w:gridSpan w:val="2"/>
            <w:tcBorders>
              <w:top w:val="single" w:sz="4" w:space="0" w:color="auto"/>
              <w:left w:val="nil"/>
              <w:bottom w:val="nil"/>
              <w:right w:val="nil"/>
            </w:tcBorders>
            <w:shd w:val="clear" w:color="000000" w:fill="FFFFFF"/>
            <w:noWrap/>
            <w:vAlign w:val="bottom"/>
            <w:hideMark/>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0.656261</w:t>
            </w:r>
          </w:p>
        </w:tc>
        <w:tc>
          <w:tcPr>
            <w:tcW w:w="2710" w:type="dxa"/>
            <w:gridSpan w:val="2"/>
            <w:tcBorders>
              <w:top w:val="single" w:sz="4" w:space="0" w:color="auto"/>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 xml:space="preserve">   Mean </w:t>
            </w:r>
            <w:proofErr w:type="spellStart"/>
            <w:r w:rsidRPr="007F577C">
              <w:rPr>
                <w:rFonts w:eastAsia="Times New Roman"/>
                <w:color w:val="000000"/>
                <w:lang w:eastAsia="es-PE"/>
              </w:rPr>
              <w:t>dependent</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var</w:t>
            </w:r>
            <w:proofErr w:type="spellEnd"/>
          </w:p>
        </w:tc>
        <w:tc>
          <w:tcPr>
            <w:tcW w:w="1232" w:type="dxa"/>
            <w:tcBorders>
              <w:top w:val="single" w:sz="4" w:space="0" w:color="auto"/>
              <w:left w:val="nil"/>
              <w:bottom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1.830442</w:t>
            </w:r>
          </w:p>
        </w:tc>
      </w:tr>
      <w:tr w:rsidR="0084055A" w:rsidRPr="007F577C" w:rsidTr="00601F9B">
        <w:trPr>
          <w:trHeight w:val="258"/>
        </w:trPr>
        <w:tc>
          <w:tcPr>
            <w:tcW w:w="3114" w:type="dxa"/>
            <w:tcBorders>
              <w:top w:val="nil"/>
              <w:left w:val="single" w:sz="4" w:space="0" w:color="auto"/>
              <w:bottom w:val="nil"/>
              <w:right w:val="nil"/>
            </w:tcBorders>
            <w:shd w:val="clear" w:color="000000" w:fill="FFFFFF"/>
            <w:noWrap/>
            <w:vAlign w:val="bottom"/>
            <w:hideMark/>
          </w:tcPr>
          <w:p w:rsidR="00956B0D" w:rsidRPr="005B7302" w:rsidRDefault="00956B0D" w:rsidP="0084055A">
            <w:pPr>
              <w:ind w:right="-280"/>
              <w:rPr>
                <w:rFonts w:eastAsia="Times New Roman"/>
                <w:b/>
                <w:color w:val="000000"/>
                <w:lang w:eastAsia="es-PE"/>
              </w:rPr>
            </w:pPr>
            <w:proofErr w:type="spellStart"/>
            <w:r w:rsidRPr="005B7302">
              <w:rPr>
                <w:rFonts w:eastAsia="Times New Roman"/>
                <w:b/>
                <w:color w:val="000000"/>
                <w:lang w:eastAsia="es-PE"/>
              </w:rPr>
              <w:t>Adjusted</w:t>
            </w:r>
            <w:proofErr w:type="spellEnd"/>
            <w:r w:rsidRPr="005B7302">
              <w:rPr>
                <w:rFonts w:eastAsia="Times New Roman"/>
                <w:b/>
                <w:color w:val="000000"/>
                <w:lang w:eastAsia="es-PE"/>
              </w:rPr>
              <w:t xml:space="preserve"> R-</w:t>
            </w:r>
            <w:proofErr w:type="spellStart"/>
            <w:r w:rsidRPr="005B7302">
              <w:rPr>
                <w:rFonts w:eastAsia="Times New Roman"/>
                <w:b/>
                <w:color w:val="000000"/>
                <w:lang w:eastAsia="es-PE"/>
              </w:rPr>
              <w:t>squared</w:t>
            </w:r>
            <w:proofErr w:type="spellEnd"/>
          </w:p>
        </w:tc>
        <w:tc>
          <w:tcPr>
            <w:tcW w:w="1701" w:type="dxa"/>
            <w:gridSpan w:val="2"/>
            <w:tcBorders>
              <w:top w:val="nil"/>
              <w:left w:val="nil"/>
              <w:bottom w:val="nil"/>
              <w:right w:val="nil"/>
            </w:tcBorders>
            <w:shd w:val="clear" w:color="000000" w:fill="FFFFFF"/>
            <w:noWrap/>
            <w:vAlign w:val="bottom"/>
            <w:hideMark/>
          </w:tcPr>
          <w:p w:rsidR="00956B0D" w:rsidRPr="005B7302" w:rsidRDefault="00956B0D" w:rsidP="0084055A">
            <w:pPr>
              <w:ind w:right="-280"/>
              <w:jc w:val="center"/>
              <w:rPr>
                <w:rFonts w:eastAsia="Times New Roman"/>
                <w:b/>
                <w:color w:val="000000"/>
                <w:lang w:eastAsia="es-PE"/>
              </w:rPr>
            </w:pPr>
            <w:r w:rsidRPr="005B7302">
              <w:rPr>
                <w:rFonts w:eastAsia="Times New Roman"/>
                <w:b/>
                <w:color w:val="000000"/>
                <w:lang w:eastAsia="es-PE"/>
              </w:rPr>
              <w:t>0.617347</w:t>
            </w:r>
          </w:p>
        </w:tc>
        <w:tc>
          <w:tcPr>
            <w:tcW w:w="2710"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 xml:space="preserve">S.D. </w:t>
            </w:r>
            <w:proofErr w:type="spellStart"/>
            <w:r w:rsidRPr="007F577C">
              <w:rPr>
                <w:rFonts w:eastAsia="Times New Roman"/>
                <w:color w:val="000000"/>
                <w:lang w:eastAsia="es-PE"/>
              </w:rPr>
              <w:t>dependent</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var</w:t>
            </w:r>
            <w:proofErr w:type="spellEnd"/>
          </w:p>
        </w:tc>
        <w:tc>
          <w:tcPr>
            <w:tcW w:w="1232" w:type="dxa"/>
            <w:tcBorders>
              <w:top w:val="nil"/>
              <w:left w:val="nil"/>
              <w:bottom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0.813383</w:t>
            </w:r>
          </w:p>
        </w:tc>
      </w:tr>
      <w:tr w:rsidR="0084055A" w:rsidRPr="007F577C" w:rsidTr="00601F9B">
        <w:trPr>
          <w:trHeight w:val="258"/>
        </w:trPr>
        <w:tc>
          <w:tcPr>
            <w:tcW w:w="3114" w:type="dxa"/>
            <w:tcBorders>
              <w:top w:val="nil"/>
              <w:left w:val="single" w:sz="4" w:space="0" w:color="auto"/>
              <w:bottom w:val="nil"/>
              <w:right w:val="nil"/>
            </w:tcBorders>
            <w:shd w:val="clear" w:color="000000" w:fill="FFFFFF"/>
            <w:noWrap/>
            <w:vAlign w:val="bottom"/>
            <w:hideMark/>
          </w:tcPr>
          <w:p w:rsidR="00956B0D" w:rsidRPr="007F577C" w:rsidRDefault="00956B0D" w:rsidP="0084055A">
            <w:pPr>
              <w:ind w:right="-280"/>
              <w:rPr>
                <w:rFonts w:eastAsia="Times New Roman"/>
                <w:color w:val="000000"/>
                <w:lang w:eastAsia="es-PE"/>
              </w:rPr>
            </w:pPr>
            <w:r w:rsidRPr="007F577C">
              <w:rPr>
                <w:rFonts w:eastAsia="Times New Roman"/>
                <w:color w:val="000000"/>
                <w:lang w:eastAsia="es-PE"/>
              </w:rPr>
              <w:t xml:space="preserve">S.E. of </w:t>
            </w:r>
            <w:proofErr w:type="spellStart"/>
            <w:r w:rsidRPr="007F577C">
              <w:rPr>
                <w:rFonts w:eastAsia="Times New Roman"/>
                <w:color w:val="000000"/>
                <w:lang w:eastAsia="es-PE"/>
              </w:rPr>
              <w:t>regression</w:t>
            </w:r>
            <w:proofErr w:type="spellEnd"/>
          </w:p>
        </w:tc>
        <w:tc>
          <w:tcPr>
            <w:tcW w:w="1701" w:type="dxa"/>
            <w:gridSpan w:val="2"/>
            <w:tcBorders>
              <w:top w:val="nil"/>
              <w:left w:val="nil"/>
              <w:bottom w:val="nil"/>
              <w:right w:val="nil"/>
            </w:tcBorders>
            <w:shd w:val="clear" w:color="000000" w:fill="FFFFFF"/>
            <w:noWrap/>
            <w:vAlign w:val="bottom"/>
            <w:hideMark/>
          </w:tcPr>
          <w:p w:rsidR="00956B0D" w:rsidRPr="007F577C" w:rsidRDefault="00956B0D" w:rsidP="0084055A">
            <w:pPr>
              <w:ind w:right="-280"/>
              <w:jc w:val="center"/>
              <w:rPr>
                <w:rFonts w:eastAsia="Times New Roman"/>
                <w:color w:val="000000"/>
                <w:lang w:eastAsia="es-PE"/>
              </w:rPr>
            </w:pPr>
            <w:r w:rsidRPr="007F577C">
              <w:rPr>
                <w:rFonts w:eastAsia="Times New Roman"/>
                <w:color w:val="000000"/>
                <w:lang w:eastAsia="es-PE"/>
              </w:rPr>
              <w:t>0.503150</w:t>
            </w:r>
          </w:p>
        </w:tc>
        <w:tc>
          <w:tcPr>
            <w:tcW w:w="2710"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 xml:space="preserve">  </w:t>
            </w:r>
            <w:proofErr w:type="spellStart"/>
            <w:r w:rsidRPr="007F577C">
              <w:rPr>
                <w:rFonts w:eastAsia="Times New Roman"/>
                <w:color w:val="000000"/>
                <w:lang w:eastAsia="es-PE"/>
              </w:rPr>
              <w:t>Akaike</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info</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criterion</w:t>
            </w:r>
            <w:proofErr w:type="spellEnd"/>
          </w:p>
        </w:tc>
        <w:tc>
          <w:tcPr>
            <w:tcW w:w="1232" w:type="dxa"/>
            <w:tcBorders>
              <w:top w:val="nil"/>
              <w:left w:val="nil"/>
              <w:bottom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1.573425</w:t>
            </w:r>
          </w:p>
        </w:tc>
      </w:tr>
      <w:tr w:rsidR="0084055A" w:rsidRPr="007F577C" w:rsidTr="00601F9B">
        <w:trPr>
          <w:trHeight w:val="333"/>
        </w:trPr>
        <w:tc>
          <w:tcPr>
            <w:tcW w:w="3114" w:type="dxa"/>
            <w:tcBorders>
              <w:top w:val="nil"/>
              <w:left w:val="single" w:sz="4" w:space="0" w:color="auto"/>
              <w:bottom w:val="nil"/>
              <w:right w:val="nil"/>
            </w:tcBorders>
            <w:shd w:val="clear" w:color="000000" w:fill="FFFFFF"/>
            <w:noWrap/>
            <w:vAlign w:val="bottom"/>
            <w:hideMark/>
          </w:tcPr>
          <w:p w:rsidR="00956B0D" w:rsidRPr="007F577C" w:rsidRDefault="00956B0D" w:rsidP="0084055A">
            <w:pPr>
              <w:ind w:right="-280"/>
              <w:rPr>
                <w:rFonts w:eastAsia="Times New Roman"/>
                <w:color w:val="000000"/>
                <w:lang w:eastAsia="es-PE"/>
              </w:rPr>
            </w:pPr>
            <w:r w:rsidRPr="007F577C">
              <w:rPr>
                <w:rFonts w:eastAsia="Times New Roman"/>
                <w:color w:val="000000"/>
                <w:lang w:eastAsia="es-PE"/>
              </w:rPr>
              <w:t xml:space="preserve">Sum </w:t>
            </w:r>
            <w:proofErr w:type="spellStart"/>
            <w:r w:rsidRPr="007F577C">
              <w:rPr>
                <w:rFonts w:eastAsia="Times New Roman"/>
                <w:color w:val="000000"/>
                <w:lang w:eastAsia="es-PE"/>
              </w:rPr>
              <w:t>squared</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resid</w:t>
            </w:r>
            <w:proofErr w:type="spellEnd"/>
          </w:p>
        </w:tc>
        <w:tc>
          <w:tcPr>
            <w:tcW w:w="1701" w:type="dxa"/>
            <w:gridSpan w:val="2"/>
            <w:tcBorders>
              <w:top w:val="nil"/>
              <w:left w:val="nil"/>
              <w:bottom w:val="nil"/>
              <w:right w:val="nil"/>
            </w:tcBorders>
            <w:shd w:val="clear" w:color="000000" w:fill="FFFFFF"/>
            <w:noWrap/>
            <w:vAlign w:val="bottom"/>
            <w:hideMark/>
          </w:tcPr>
          <w:p w:rsidR="00956B0D" w:rsidRPr="007F577C" w:rsidRDefault="00956B0D" w:rsidP="0084055A">
            <w:pPr>
              <w:ind w:right="-280"/>
              <w:jc w:val="center"/>
              <w:rPr>
                <w:rFonts w:eastAsia="Times New Roman"/>
                <w:color w:val="000000"/>
                <w:lang w:eastAsia="es-PE"/>
              </w:rPr>
            </w:pPr>
            <w:r w:rsidRPr="007F577C">
              <w:rPr>
                <w:rFonts w:eastAsia="Times New Roman"/>
                <w:color w:val="000000"/>
                <w:lang w:eastAsia="es-PE"/>
              </w:rPr>
              <w:t>13.41749</w:t>
            </w:r>
          </w:p>
        </w:tc>
        <w:tc>
          <w:tcPr>
            <w:tcW w:w="2710"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proofErr w:type="spellStart"/>
            <w:r w:rsidRPr="007F577C">
              <w:rPr>
                <w:rFonts w:eastAsia="Times New Roman"/>
                <w:color w:val="000000"/>
                <w:lang w:eastAsia="es-PE"/>
              </w:rPr>
              <w:t>Schwarz</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criterion</w:t>
            </w:r>
            <w:proofErr w:type="spellEnd"/>
          </w:p>
        </w:tc>
        <w:tc>
          <w:tcPr>
            <w:tcW w:w="1232" w:type="dxa"/>
            <w:tcBorders>
              <w:top w:val="nil"/>
              <w:left w:val="nil"/>
              <w:bottom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1.817765</w:t>
            </w:r>
          </w:p>
        </w:tc>
      </w:tr>
      <w:tr w:rsidR="0084055A" w:rsidRPr="007F577C" w:rsidTr="00601F9B">
        <w:trPr>
          <w:trHeight w:val="258"/>
        </w:trPr>
        <w:tc>
          <w:tcPr>
            <w:tcW w:w="3114" w:type="dxa"/>
            <w:tcBorders>
              <w:top w:val="nil"/>
              <w:left w:val="single" w:sz="4" w:space="0" w:color="auto"/>
              <w:bottom w:val="nil"/>
              <w:right w:val="nil"/>
            </w:tcBorders>
            <w:shd w:val="clear" w:color="000000" w:fill="FFFFFF"/>
            <w:noWrap/>
            <w:vAlign w:val="bottom"/>
            <w:hideMark/>
          </w:tcPr>
          <w:p w:rsidR="00956B0D" w:rsidRPr="007F577C" w:rsidRDefault="00956B0D" w:rsidP="0084055A">
            <w:pPr>
              <w:ind w:right="-280"/>
              <w:rPr>
                <w:rFonts w:eastAsia="Times New Roman"/>
                <w:color w:val="000000"/>
                <w:lang w:eastAsia="es-PE"/>
              </w:rPr>
            </w:pPr>
            <w:r w:rsidRPr="007F577C">
              <w:rPr>
                <w:rFonts w:eastAsia="Times New Roman"/>
                <w:color w:val="000000"/>
                <w:lang w:eastAsia="es-PE"/>
              </w:rPr>
              <w:t xml:space="preserve">Log </w:t>
            </w:r>
            <w:proofErr w:type="spellStart"/>
            <w:r w:rsidRPr="007F577C">
              <w:rPr>
                <w:rFonts w:eastAsia="Times New Roman"/>
                <w:color w:val="000000"/>
                <w:lang w:eastAsia="es-PE"/>
              </w:rPr>
              <w:t>likelihood</w:t>
            </w:r>
            <w:proofErr w:type="spellEnd"/>
          </w:p>
        </w:tc>
        <w:tc>
          <w:tcPr>
            <w:tcW w:w="1701" w:type="dxa"/>
            <w:gridSpan w:val="2"/>
            <w:tcBorders>
              <w:top w:val="nil"/>
              <w:left w:val="nil"/>
              <w:bottom w:val="nil"/>
              <w:right w:val="nil"/>
            </w:tcBorders>
            <w:shd w:val="clear" w:color="000000" w:fill="FFFFFF"/>
            <w:noWrap/>
            <w:vAlign w:val="bottom"/>
            <w:hideMark/>
          </w:tcPr>
          <w:p w:rsidR="00956B0D" w:rsidRPr="007F577C" w:rsidRDefault="00956B0D" w:rsidP="0084055A">
            <w:pPr>
              <w:ind w:right="-280"/>
              <w:jc w:val="center"/>
              <w:rPr>
                <w:rFonts w:eastAsia="Times New Roman"/>
                <w:color w:val="000000"/>
                <w:lang w:eastAsia="es-PE"/>
              </w:rPr>
            </w:pPr>
            <w:r w:rsidRPr="007F577C">
              <w:rPr>
                <w:rFonts w:eastAsia="Times New Roman"/>
                <w:color w:val="000000"/>
                <w:lang w:eastAsia="es-PE"/>
              </w:rPr>
              <w:t>-40.20275</w:t>
            </w:r>
          </w:p>
        </w:tc>
        <w:tc>
          <w:tcPr>
            <w:tcW w:w="2710"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 xml:space="preserve">     </w:t>
            </w:r>
            <w:proofErr w:type="spellStart"/>
            <w:r w:rsidRPr="007F577C">
              <w:rPr>
                <w:rFonts w:eastAsia="Times New Roman"/>
                <w:color w:val="000000"/>
                <w:lang w:eastAsia="es-PE"/>
              </w:rPr>
              <w:t>Hannan-Quinn</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criter</w:t>
            </w:r>
            <w:proofErr w:type="spellEnd"/>
          </w:p>
        </w:tc>
        <w:tc>
          <w:tcPr>
            <w:tcW w:w="1232" w:type="dxa"/>
            <w:tcBorders>
              <w:top w:val="nil"/>
              <w:left w:val="nil"/>
              <w:bottom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1.817765</w:t>
            </w:r>
          </w:p>
        </w:tc>
      </w:tr>
      <w:tr w:rsidR="0084055A" w:rsidRPr="007F577C" w:rsidTr="00601F9B">
        <w:trPr>
          <w:trHeight w:val="258"/>
        </w:trPr>
        <w:tc>
          <w:tcPr>
            <w:tcW w:w="3114" w:type="dxa"/>
            <w:tcBorders>
              <w:top w:val="nil"/>
              <w:left w:val="single" w:sz="4" w:space="0" w:color="auto"/>
              <w:right w:val="nil"/>
            </w:tcBorders>
            <w:shd w:val="clear" w:color="000000" w:fill="FFFFFF"/>
            <w:noWrap/>
            <w:vAlign w:val="bottom"/>
            <w:hideMark/>
          </w:tcPr>
          <w:p w:rsidR="00956B0D" w:rsidRPr="007F577C" w:rsidRDefault="00956B0D" w:rsidP="0084055A">
            <w:pPr>
              <w:ind w:right="-280"/>
              <w:rPr>
                <w:rFonts w:eastAsia="Times New Roman"/>
                <w:color w:val="000000"/>
                <w:lang w:eastAsia="es-PE"/>
              </w:rPr>
            </w:pPr>
            <w:r w:rsidRPr="007F577C">
              <w:rPr>
                <w:rFonts w:eastAsia="Times New Roman"/>
                <w:color w:val="000000"/>
                <w:lang w:eastAsia="es-PE"/>
              </w:rPr>
              <w:t>F-</w:t>
            </w:r>
            <w:proofErr w:type="spellStart"/>
            <w:r w:rsidRPr="007F577C">
              <w:rPr>
                <w:rFonts w:eastAsia="Times New Roman"/>
                <w:color w:val="000000"/>
                <w:lang w:eastAsia="es-PE"/>
              </w:rPr>
              <w:t>statistic</w:t>
            </w:r>
            <w:proofErr w:type="spellEnd"/>
          </w:p>
        </w:tc>
        <w:tc>
          <w:tcPr>
            <w:tcW w:w="1701" w:type="dxa"/>
            <w:gridSpan w:val="2"/>
            <w:tcBorders>
              <w:top w:val="nil"/>
              <w:left w:val="nil"/>
              <w:right w:val="nil"/>
            </w:tcBorders>
            <w:shd w:val="clear" w:color="000000" w:fill="FFFFFF"/>
            <w:noWrap/>
            <w:vAlign w:val="bottom"/>
            <w:hideMark/>
          </w:tcPr>
          <w:p w:rsidR="00956B0D" w:rsidRPr="007F577C" w:rsidRDefault="00956B0D" w:rsidP="0084055A">
            <w:pPr>
              <w:ind w:right="-280"/>
              <w:jc w:val="center"/>
              <w:rPr>
                <w:rFonts w:eastAsia="Times New Roman"/>
                <w:color w:val="000000"/>
                <w:lang w:eastAsia="es-PE"/>
              </w:rPr>
            </w:pPr>
            <w:r w:rsidRPr="007F577C">
              <w:rPr>
                <w:rFonts w:eastAsia="Times New Roman"/>
                <w:color w:val="000000"/>
                <w:lang w:eastAsia="es-PE"/>
              </w:rPr>
              <w:t>16.86443</w:t>
            </w:r>
          </w:p>
        </w:tc>
        <w:tc>
          <w:tcPr>
            <w:tcW w:w="2710" w:type="dxa"/>
            <w:gridSpan w:val="2"/>
            <w:tcBorders>
              <w:top w:val="nil"/>
              <w:left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 xml:space="preserve">    </w:t>
            </w:r>
            <w:proofErr w:type="spellStart"/>
            <w:r w:rsidRPr="007F577C">
              <w:rPr>
                <w:rFonts w:eastAsia="Times New Roman"/>
                <w:color w:val="000000"/>
                <w:lang w:eastAsia="es-PE"/>
              </w:rPr>
              <w:t>Durbin</w:t>
            </w:r>
            <w:proofErr w:type="spellEnd"/>
            <w:r w:rsidRPr="007F577C">
              <w:rPr>
                <w:rFonts w:eastAsia="Times New Roman"/>
                <w:color w:val="000000"/>
                <w:lang w:eastAsia="es-PE"/>
              </w:rPr>
              <w:t xml:space="preserve">-Watson </w:t>
            </w:r>
            <w:proofErr w:type="spellStart"/>
            <w:r w:rsidRPr="007F577C">
              <w:rPr>
                <w:rFonts w:eastAsia="Times New Roman"/>
                <w:color w:val="000000"/>
                <w:lang w:eastAsia="es-PE"/>
              </w:rPr>
              <w:t>stat</w:t>
            </w:r>
            <w:proofErr w:type="spellEnd"/>
          </w:p>
        </w:tc>
        <w:tc>
          <w:tcPr>
            <w:tcW w:w="1232" w:type="dxa"/>
            <w:tcBorders>
              <w:top w:val="nil"/>
              <w:left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1.040535</w:t>
            </w:r>
          </w:p>
        </w:tc>
      </w:tr>
      <w:tr w:rsidR="0084055A" w:rsidRPr="007F577C" w:rsidTr="00601F9B">
        <w:trPr>
          <w:trHeight w:val="269"/>
        </w:trPr>
        <w:tc>
          <w:tcPr>
            <w:tcW w:w="3114" w:type="dxa"/>
            <w:tcBorders>
              <w:top w:val="nil"/>
              <w:left w:val="single" w:sz="4" w:space="0" w:color="auto"/>
              <w:bottom w:val="single" w:sz="4" w:space="0" w:color="auto"/>
              <w:right w:val="nil"/>
            </w:tcBorders>
            <w:shd w:val="clear" w:color="000000" w:fill="FFFFFF"/>
            <w:noWrap/>
            <w:vAlign w:val="bottom"/>
            <w:hideMark/>
          </w:tcPr>
          <w:p w:rsidR="00956B0D" w:rsidRPr="007F577C" w:rsidRDefault="00956B0D" w:rsidP="0084055A">
            <w:pPr>
              <w:ind w:right="-280"/>
              <w:rPr>
                <w:rFonts w:eastAsia="Times New Roman"/>
                <w:color w:val="000000"/>
                <w:lang w:eastAsia="es-PE"/>
              </w:rPr>
            </w:pPr>
            <w:proofErr w:type="spellStart"/>
            <w:r w:rsidRPr="007F577C">
              <w:rPr>
                <w:rFonts w:eastAsia="Times New Roman"/>
                <w:color w:val="000000"/>
                <w:lang w:eastAsia="es-PE"/>
              </w:rPr>
              <w:t>Prob</w:t>
            </w:r>
            <w:proofErr w:type="spellEnd"/>
            <w:r w:rsidRPr="007F577C">
              <w:rPr>
                <w:rFonts w:eastAsia="Times New Roman"/>
                <w:color w:val="000000"/>
                <w:lang w:eastAsia="es-PE"/>
              </w:rPr>
              <w:t>(F-</w:t>
            </w:r>
            <w:proofErr w:type="spellStart"/>
            <w:r w:rsidRPr="007F577C">
              <w:rPr>
                <w:rFonts w:eastAsia="Times New Roman"/>
                <w:color w:val="000000"/>
                <w:lang w:eastAsia="es-PE"/>
              </w:rPr>
              <w:t>statistic</w:t>
            </w:r>
            <w:proofErr w:type="spellEnd"/>
            <w:r w:rsidRPr="007F577C">
              <w:rPr>
                <w:rFonts w:eastAsia="Times New Roman"/>
                <w:color w:val="000000"/>
                <w:lang w:eastAsia="es-PE"/>
              </w:rPr>
              <w:t>)</w:t>
            </w:r>
          </w:p>
        </w:tc>
        <w:tc>
          <w:tcPr>
            <w:tcW w:w="1701" w:type="dxa"/>
            <w:gridSpan w:val="2"/>
            <w:tcBorders>
              <w:top w:val="nil"/>
              <w:left w:val="nil"/>
              <w:bottom w:val="single" w:sz="4" w:space="0" w:color="auto"/>
              <w:right w:val="nil"/>
            </w:tcBorders>
            <w:shd w:val="clear" w:color="000000" w:fill="FFFFFF"/>
            <w:noWrap/>
            <w:vAlign w:val="bottom"/>
            <w:hideMark/>
          </w:tcPr>
          <w:p w:rsidR="00956B0D" w:rsidRPr="007F577C" w:rsidRDefault="00956B0D" w:rsidP="0084055A">
            <w:pPr>
              <w:ind w:right="-280"/>
              <w:jc w:val="center"/>
              <w:rPr>
                <w:rFonts w:eastAsia="Times New Roman"/>
                <w:color w:val="000000"/>
                <w:lang w:eastAsia="es-PE"/>
              </w:rPr>
            </w:pPr>
            <w:r w:rsidRPr="007F577C">
              <w:rPr>
                <w:rFonts w:eastAsia="Times New Roman"/>
                <w:color w:val="000000"/>
                <w:lang w:eastAsia="es-PE"/>
              </w:rPr>
              <w:t>0.000000</w:t>
            </w:r>
          </w:p>
        </w:tc>
        <w:tc>
          <w:tcPr>
            <w:tcW w:w="1232" w:type="dxa"/>
            <w:tcBorders>
              <w:top w:val="nil"/>
              <w:left w:val="nil"/>
              <w:bottom w:val="single" w:sz="4" w:space="0" w:color="auto"/>
              <w:right w:val="nil"/>
            </w:tcBorders>
            <w:shd w:val="clear" w:color="000000" w:fill="FFFFFF"/>
            <w:noWrap/>
            <w:vAlign w:val="center"/>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 </w:t>
            </w:r>
          </w:p>
        </w:tc>
        <w:tc>
          <w:tcPr>
            <w:tcW w:w="1478" w:type="dxa"/>
            <w:tcBorders>
              <w:top w:val="nil"/>
              <w:left w:val="nil"/>
              <w:bottom w:val="single" w:sz="4" w:space="0" w:color="auto"/>
              <w:right w:val="nil"/>
            </w:tcBorders>
            <w:shd w:val="clear" w:color="000000" w:fill="FFFFFF"/>
            <w:noWrap/>
            <w:vAlign w:val="center"/>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 </w:t>
            </w:r>
          </w:p>
        </w:tc>
        <w:tc>
          <w:tcPr>
            <w:tcW w:w="1232" w:type="dxa"/>
            <w:tcBorders>
              <w:top w:val="nil"/>
              <w:left w:val="nil"/>
              <w:bottom w:val="single" w:sz="4" w:space="0" w:color="auto"/>
              <w:right w:val="single" w:sz="4" w:space="0" w:color="auto"/>
            </w:tcBorders>
            <w:shd w:val="clear" w:color="000000" w:fill="FFFFFF"/>
            <w:noWrap/>
            <w:vAlign w:val="center"/>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 </w:t>
            </w:r>
          </w:p>
        </w:tc>
      </w:tr>
    </w:tbl>
    <w:p w:rsidR="00956B0D" w:rsidRDefault="00956B0D" w:rsidP="00956B0D">
      <w:pPr>
        <w:tabs>
          <w:tab w:val="left" w:pos="5184"/>
        </w:tabs>
        <w:rPr>
          <w:b/>
        </w:rPr>
      </w:pPr>
    </w:p>
    <w:p w:rsidR="00956B0D" w:rsidRDefault="00C44461" w:rsidP="00C44461">
      <w:pPr>
        <w:pStyle w:val="Ttulo2"/>
      </w:pPr>
      <w:r>
        <w:t>Segunda regresión</w:t>
      </w:r>
    </w:p>
    <w:p w:rsidR="00D1383A" w:rsidRDefault="00640622" w:rsidP="00640622">
      <w:pPr>
        <w:tabs>
          <w:tab w:val="left" w:pos="5184"/>
        </w:tabs>
      </w:pPr>
      <w:r>
        <w:t xml:space="preserve">Los resultados de la segunda regresión, eliminando la variable de Apalancamiento del </w:t>
      </w:r>
      <w:proofErr w:type="spellStart"/>
      <w:r>
        <w:t>modeo</w:t>
      </w:r>
      <w:proofErr w:type="spellEnd"/>
      <w:r>
        <w:t xml:space="preserve">, muestran que la hipótesis nula se rechaza, cumpliendo la teoría de F&lt;0.05, confirmando la asociación del gobierno corporativo y el valor de los bancos peruanos listados en la BVL. Asimismo, al analizar el R2, se evidencia que las variables independientes explican 65.62% del comportamiento de la variable dependiente. En esta regresión, todas las variables independientes probaron su significancia al ser p&lt;0.05. </w:t>
      </w:r>
    </w:p>
    <w:p w:rsidR="00D1383A" w:rsidRDefault="00D1383A" w:rsidP="00640622">
      <w:pPr>
        <w:tabs>
          <w:tab w:val="left" w:pos="5184"/>
        </w:tabs>
      </w:pPr>
    </w:p>
    <w:p w:rsidR="00956579" w:rsidRDefault="00640622" w:rsidP="00640622">
      <w:pPr>
        <w:tabs>
          <w:tab w:val="left" w:pos="5184"/>
        </w:tabs>
      </w:pPr>
      <w:r>
        <w:t xml:space="preserve">En referencia a su relación con la variable dependiente, es decir, el valor económico de los bancos peruanos listados en la bolsa, las variables significativas tienen la siguiente dinámica: IBGC tiene una relación directa con el valor económico de los bancos peruanos listados en la bolsa con un coeficiente de 0.9255; REN_CART tiene una relación inversa con un coeficiente de -0.6091; CAL_CARTE tiene una relación directa con un coeficiente de 0.1056; ROA tiene una relación directa con un coeficiente de 24.9266 y, finalmente, RAT_EFI tiene una relación inversa con un coeficiente de -2.7872. </w:t>
      </w:r>
    </w:p>
    <w:p w:rsidR="00956579" w:rsidRDefault="00956579" w:rsidP="00640622">
      <w:pPr>
        <w:tabs>
          <w:tab w:val="left" w:pos="5184"/>
        </w:tabs>
      </w:pPr>
    </w:p>
    <w:p w:rsidR="00640622" w:rsidRDefault="00640622" w:rsidP="00640622">
      <w:pPr>
        <w:tabs>
          <w:tab w:val="left" w:pos="5184"/>
        </w:tabs>
      </w:pPr>
      <w:bookmarkStart w:id="0" w:name="_GoBack"/>
      <w:bookmarkEnd w:id="0"/>
      <w:r>
        <w:t>En conclusión, se puede observar que la variable de apalancamiento no era significativa, pues los coeficientes del modelo se han mantenido relativamente constantes. La Tabla 7 muestra los resultados obtenidos en la primera regresión utilizando el programa E-</w:t>
      </w:r>
      <w:proofErr w:type="spellStart"/>
      <w:r>
        <w:t>Views</w:t>
      </w:r>
      <w:proofErr w:type="spellEnd"/>
      <w:r>
        <w:t xml:space="preserve">: </w:t>
      </w:r>
    </w:p>
    <w:p w:rsidR="00AE7ADA" w:rsidRDefault="00AE7ADA" w:rsidP="00956B0D">
      <w:pPr>
        <w:tabs>
          <w:tab w:val="left" w:pos="5184"/>
        </w:tabs>
      </w:pPr>
    </w:p>
    <w:p w:rsidR="00AE7ADA" w:rsidRPr="003C287E" w:rsidRDefault="00AE7ADA" w:rsidP="00AE7ADA">
      <w:pPr>
        <w:rPr>
          <w:i/>
        </w:rPr>
      </w:pPr>
      <w:r>
        <w:rPr>
          <w:i/>
        </w:rPr>
        <w:t>Tabla 7</w:t>
      </w:r>
    </w:p>
    <w:p w:rsidR="00956B0D" w:rsidRPr="00AE7ADA" w:rsidRDefault="00CB471B" w:rsidP="00AE7ADA">
      <w:pPr>
        <w:tabs>
          <w:tab w:val="left" w:pos="5184"/>
        </w:tabs>
      </w:pPr>
      <w:r>
        <w:rPr>
          <w:i/>
        </w:rPr>
        <w:t>Resultados de la segunda regresión</w:t>
      </w:r>
    </w:p>
    <w:tbl>
      <w:tblPr>
        <w:tblW w:w="8508" w:type="dxa"/>
        <w:tblCellMar>
          <w:left w:w="70" w:type="dxa"/>
          <w:right w:w="70" w:type="dxa"/>
        </w:tblCellMar>
        <w:tblLook w:val="04A0" w:firstRow="1" w:lastRow="0" w:firstColumn="1" w:lastColumn="0" w:noHBand="0" w:noVBand="1"/>
      </w:tblPr>
      <w:tblGrid>
        <w:gridCol w:w="3114"/>
        <w:gridCol w:w="623"/>
        <w:gridCol w:w="903"/>
        <w:gridCol w:w="1232"/>
        <w:gridCol w:w="1494"/>
        <w:gridCol w:w="1142"/>
      </w:tblGrid>
      <w:tr w:rsidR="00AE7ADA" w:rsidRPr="00AE7ADA" w:rsidTr="00AE7ADA">
        <w:trPr>
          <w:trHeight w:val="258"/>
        </w:trPr>
        <w:tc>
          <w:tcPr>
            <w:tcW w:w="3737"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Variable Dependiente: QTOBIN</w:t>
            </w:r>
          </w:p>
        </w:tc>
        <w:tc>
          <w:tcPr>
            <w:tcW w:w="903"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1232"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1494"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1142" w:type="dxa"/>
            <w:tcBorders>
              <w:top w:val="single" w:sz="4" w:space="0" w:color="auto"/>
              <w:left w:val="nil"/>
              <w:bottom w:val="single" w:sz="4" w:space="0" w:color="auto"/>
              <w:right w:val="single" w:sz="4" w:space="0" w:color="auto"/>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r>
      <w:tr w:rsidR="00AE7ADA" w:rsidRPr="00AE7ADA" w:rsidTr="00AE7ADA">
        <w:trPr>
          <w:trHeight w:val="258"/>
        </w:trPr>
        <w:tc>
          <w:tcPr>
            <w:tcW w:w="8508"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E7ADA" w:rsidRPr="00AE7ADA" w:rsidRDefault="00AE7ADA" w:rsidP="009D1ED2">
            <w:pPr>
              <w:rPr>
                <w:rFonts w:eastAsia="Times New Roman"/>
                <w:b/>
                <w:color w:val="000000"/>
                <w:lang w:eastAsia="es-PE"/>
              </w:rPr>
            </w:pPr>
            <w:r w:rsidRPr="00AE7ADA">
              <w:rPr>
                <w:rFonts w:eastAsia="Times New Roman"/>
                <w:b/>
                <w:color w:val="000000"/>
                <w:lang w:eastAsia="es-PE"/>
              </w:rPr>
              <w:t>Método: Panel Mínimos cuadrados</w:t>
            </w:r>
          </w:p>
        </w:tc>
      </w:tr>
      <w:tr w:rsidR="00AE7ADA" w:rsidRPr="00AE7ADA" w:rsidTr="00AE7ADA">
        <w:trPr>
          <w:trHeight w:val="258"/>
        </w:trPr>
        <w:tc>
          <w:tcPr>
            <w:tcW w:w="3114" w:type="dxa"/>
            <w:tcBorders>
              <w:top w:val="single" w:sz="4" w:space="0" w:color="auto"/>
              <w:left w:val="single" w:sz="4" w:space="0" w:color="auto"/>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Muestra: 2011 - 2016</w:t>
            </w:r>
          </w:p>
        </w:tc>
        <w:tc>
          <w:tcPr>
            <w:tcW w:w="623"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903"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1232"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1494"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1142" w:type="dxa"/>
            <w:tcBorders>
              <w:top w:val="single" w:sz="4" w:space="0" w:color="auto"/>
              <w:left w:val="nil"/>
              <w:bottom w:val="single" w:sz="4" w:space="0" w:color="auto"/>
              <w:right w:val="single" w:sz="4" w:space="0" w:color="auto"/>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r>
      <w:tr w:rsidR="00AE7ADA" w:rsidRPr="00AE7ADA" w:rsidTr="00AE7ADA">
        <w:trPr>
          <w:trHeight w:val="258"/>
        </w:trPr>
        <w:tc>
          <w:tcPr>
            <w:tcW w:w="3114" w:type="dxa"/>
            <w:tcBorders>
              <w:top w:val="single" w:sz="4" w:space="0" w:color="auto"/>
              <w:left w:val="single" w:sz="4" w:space="0" w:color="auto"/>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Periodos incluidos: 6</w:t>
            </w:r>
          </w:p>
        </w:tc>
        <w:tc>
          <w:tcPr>
            <w:tcW w:w="623"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903"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1232"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1494" w:type="dxa"/>
            <w:tcBorders>
              <w:top w:val="single" w:sz="4" w:space="0" w:color="auto"/>
              <w:left w:val="nil"/>
              <w:bottom w:val="single" w:sz="4" w:space="0" w:color="auto"/>
              <w:right w:val="nil"/>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c>
          <w:tcPr>
            <w:tcW w:w="1142" w:type="dxa"/>
            <w:tcBorders>
              <w:top w:val="single" w:sz="4" w:space="0" w:color="auto"/>
              <w:left w:val="nil"/>
              <w:bottom w:val="single" w:sz="4" w:space="0" w:color="auto"/>
              <w:right w:val="single" w:sz="4" w:space="0" w:color="auto"/>
            </w:tcBorders>
            <w:shd w:val="clear" w:color="000000" w:fill="FFFFFF"/>
            <w:noWrap/>
            <w:vAlign w:val="bottom"/>
            <w:hideMark/>
          </w:tcPr>
          <w:p w:rsidR="00956B0D" w:rsidRPr="00AE7ADA" w:rsidRDefault="00956B0D" w:rsidP="009D1ED2">
            <w:pPr>
              <w:rPr>
                <w:rFonts w:eastAsia="Times New Roman"/>
                <w:b/>
                <w:color w:val="000000"/>
                <w:lang w:eastAsia="es-PE"/>
              </w:rPr>
            </w:pPr>
            <w:r w:rsidRPr="00AE7ADA">
              <w:rPr>
                <w:rFonts w:eastAsia="Times New Roman"/>
                <w:b/>
                <w:color w:val="000000"/>
                <w:lang w:eastAsia="es-PE"/>
              </w:rPr>
              <w:t> </w:t>
            </w:r>
          </w:p>
        </w:tc>
      </w:tr>
      <w:tr w:rsidR="00AE7ADA" w:rsidRPr="00AE7ADA" w:rsidTr="00095A19">
        <w:trPr>
          <w:trHeight w:val="258"/>
        </w:trPr>
        <w:tc>
          <w:tcPr>
            <w:tcW w:w="8508"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E7ADA" w:rsidRPr="00AE7ADA" w:rsidRDefault="00AE7ADA" w:rsidP="00AE7ADA">
            <w:pPr>
              <w:ind w:right="-383"/>
              <w:rPr>
                <w:rFonts w:eastAsia="Times New Roman"/>
                <w:b/>
                <w:color w:val="000000"/>
                <w:lang w:eastAsia="es-PE"/>
              </w:rPr>
            </w:pPr>
            <w:r w:rsidRPr="00AE7ADA">
              <w:rPr>
                <w:rFonts w:eastAsia="Times New Roman"/>
                <w:b/>
                <w:color w:val="000000"/>
                <w:lang w:eastAsia="es-PE"/>
              </w:rPr>
              <w:t>Secciones transversales incluidas: 10</w:t>
            </w:r>
          </w:p>
        </w:tc>
      </w:tr>
      <w:tr w:rsidR="00AE7ADA" w:rsidRPr="00AE7ADA" w:rsidTr="00095A19">
        <w:trPr>
          <w:trHeight w:val="258"/>
        </w:trPr>
        <w:tc>
          <w:tcPr>
            <w:tcW w:w="8508"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E7ADA" w:rsidRPr="00AE7ADA" w:rsidRDefault="00AE7ADA" w:rsidP="009D1ED2">
            <w:pPr>
              <w:rPr>
                <w:rFonts w:eastAsia="Times New Roman"/>
                <w:b/>
                <w:color w:val="000000"/>
                <w:lang w:eastAsia="es-PE"/>
              </w:rPr>
            </w:pPr>
            <w:r w:rsidRPr="00AE7ADA">
              <w:rPr>
                <w:rFonts w:eastAsia="Times New Roman"/>
                <w:b/>
                <w:color w:val="000000"/>
                <w:lang w:eastAsia="es-PE"/>
              </w:rPr>
              <w:t>Total panel (equilibrado) observaciones: 60</w:t>
            </w:r>
          </w:p>
        </w:tc>
      </w:tr>
      <w:tr w:rsidR="00AE7ADA" w:rsidRPr="007F577C" w:rsidTr="00AE7ADA">
        <w:trPr>
          <w:trHeight w:val="279"/>
        </w:trPr>
        <w:tc>
          <w:tcPr>
            <w:tcW w:w="3114" w:type="dxa"/>
            <w:tcBorders>
              <w:top w:val="single" w:sz="4" w:space="0" w:color="auto"/>
              <w:left w:val="single" w:sz="4" w:space="0" w:color="auto"/>
              <w:bottom w:val="single" w:sz="4" w:space="0" w:color="auto"/>
              <w:right w:val="nil"/>
            </w:tcBorders>
            <w:shd w:val="clear" w:color="auto" w:fill="auto"/>
            <w:noWrap/>
            <w:vAlign w:val="center"/>
            <w:hideMark/>
          </w:tcPr>
          <w:p w:rsidR="00956B0D" w:rsidRPr="005B7302" w:rsidRDefault="00956B0D" w:rsidP="009D1ED2">
            <w:pPr>
              <w:jc w:val="center"/>
              <w:rPr>
                <w:rFonts w:eastAsia="Times New Roman"/>
                <w:b/>
                <w:color w:val="000000"/>
                <w:lang w:eastAsia="es-PE"/>
              </w:rPr>
            </w:pPr>
            <w:r w:rsidRPr="005B7302">
              <w:rPr>
                <w:rFonts w:eastAsia="Times New Roman"/>
                <w:b/>
                <w:color w:val="000000"/>
                <w:lang w:eastAsia="es-PE"/>
              </w:rPr>
              <w:t>Variable</w:t>
            </w:r>
          </w:p>
        </w:tc>
        <w:tc>
          <w:tcPr>
            <w:tcW w:w="1526" w:type="dxa"/>
            <w:gridSpan w:val="2"/>
            <w:tcBorders>
              <w:top w:val="single" w:sz="4" w:space="0" w:color="auto"/>
              <w:left w:val="nil"/>
              <w:bottom w:val="single" w:sz="4" w:space="0" w:color="auto"/>
              <w:right w:val="nil"/>
            </w:tcBorders>
            <w:shd w:val="clear" w:color="auto" w:fill="auto"/>
            <w:noWrap/>
            <w:vAlign w:val="center"/>
            <w:hideMark/>
          </w:tcPr>
          <w:p w:rsidR="00956B0D" w:rsidRPr="005B7302" w:rsidRDefault="00956B0D" w:rsidP="009D1ED2">
            <w:pPr>
              <w:jc w:val="center"/>
              <w:rPr>
                <w:rFonts w:eastAsia="Times New Roman"/>
                <w:b/>
                <w:color w:val="000000"/>
                <w:lang w:eastAsia="es-PE"/>
              </w:rPr>
            </w:pPr>
            <w:proofErr w:type="spellStart"/>
            <w:r w:rsidRPr="005B7302">
              <w:rPr>
                <w:rFonts w:eastAsia="Times New Roman"/>
                <w:b/>
                <w:color w:val="000000"/>
                <w:lang w:eastAsia="es-PE"/>
              </w:rPr>
              <w:t>Coefficient</w:t>
            </w:r>
            <w:proofErr w:type="spellEnd"/>
          </w:p>
        </w:tc>
        <w:tc>
          <w:tcPr>
            <w:tcW w:w="1232" w:type="dxa"/>
            <w:tcBorders>
              <w:top w:val="single" w:sz="4" w:space="0" w:color="auto"/>
              <w:left w:val="nil"/>
              <w:bottom w:val="single" w:sz="4" w:space="0" w:color="auto"/>
              <w:right w:val="nil"/>
            </w:tcBorders>
            <w:shd w:val="clear" w:color="auto" w:fill="auto"/>
            <w:noWrap/>
            <w:vAlign w:val="center"/>
            <w:hideMark/>
          </w:tcPr>
          <w:p w:rsidR="00956B0D" w:rsidRPr="007F577C" w:rsidRDefault="00956B0D" w:rsidP="009D1ED2">
            <w:pPr>
              <w:jc w:val="center"/>
              <w:rPr>
                <w:rFonts w:eastAsia="Times New Roman"/>
                <w:color w:val="000000"/>
                <w:lang w:eastAsia="es-PE"/>
              </w:rPr>
            </w:pPr>
            <w:proofErr w:type="spellStart"/>
            <w:r w:rsidRPr="007F577C">
              <w:rPr>
                <w:rFonts w:eastAsia="Times New Roman"/>
                <w:color w:val="000000"/>
                <w:lang w:eastAsia="es-PE"/>
              </w:rPr>
              <w:t>Std</w:t>
            </w:r>
            <w:proofErr w:type="spellEnd"/>
            <w:r w:rsidRPr="007F577C">
              <w:rPr>
                <w:rFonts w:eastAsia="Times New Roman"/>
                <w:color w:val="000000"/>
                <w:lang w:eastAsia="es-PE"/>
              </w:rPr>
              <w:t xml:space="preserve"> Error</w:t>
            </w:r>
          </w:p>
        </w:tc>
        <w:tc>
          <w:tcPr>
            <w:tcW w:w="1494" w:type="dxa"/>
            <w:tcBorders>
              <w:top w:val="single" w:sz="4" w:space="0" w:color="auto"/>
              <w:left w:val="nil"/>
              <w:bottom w:val="single" w:sz="4" w:space="0" w:color="auto"/>
              <w:right w:val="nil"/>
            </w:tcBorders>
            <w:shd w:val="clear" w:color="auto" w:fill="auto"/>
            <w:noWrap/>
            <w:vAlign w:val="center"/>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t-</w:t>
            </w:r>
            <w:proofErr w:type="spellStart"/>
            <w:r w:rsidRPr="007F577C">
              <w:rPr>
                <w:rFonts w:eastAsia="Times New Roman"/>
                <w:color w:val="000000"/>
                <w:lang w:eastAsia="es-PE"/>
              </w:rPr>
              <w:t>Statistic</w:t>
            </w:r>
            <w:proofErr w:type="spellEnd"/>
          </w:p>
        </w:tc>
        <w:tc>
          <w:tcPr>
            <w:tcW w:w="1142" w:type="dxa"/>
            <w:tcBorders>
              <w:top w:val="single" w:sz="4" w:space="0" w:color="auto"/>
              <w:left w:val="nil"/>
              <w:bottom w:val="single" w:sz="4" w:space="0" w:color="auto"/>
              <w:right w:val="single" w:sz="4" w:space="0" w:color="auto"/>
            </w:tcBorders>
            <w:shd w:val="clear" w:color="auto" w:fill="auto"/>
            <w:noWrap/>
            <w:vAlign w:val="center"/>
            <w:hideMark/>
          </w:tcPr>
          <w:p w:rsidR="00956B0D" w:rsidRPr="007F577C" w:rsidRDefault="00956B0D" w:rsidP="009D1ED2">
            <w:pPr>
              <w:jc w:val="center"/>
              <w:rPr>
                <w:rFonts w:eastAsia="Times New Roman"/>
                <w:color w:val="000000"/>
                <w:lang w:eastAsia="es-PE"/>
              </w:rPr>
            </w:pPr>
            <w:proofErr w:type="spellStart"/>
            <w:r w:rsidRPr="007F577C">
              <w:rPr>
                <w:rFonts w:eastAsia="Times New Roman"/>
                <w:color w:val="000000"/>
                <w:lang w:eastAsia="es-PE"/>
              </w:rPr>
              <w:t>Prob</w:t>
            </w:r>
            <w:proofErr w:type="spellEnd"/>
            <w:r w:rsidRPr="007F577C">
              <w:rPr>
                <w:rFonts w:eastAsia="Times New Roman"/>
                <w:color w:val="000000"/>
                <w:lang w:eastAsia="es-PE"/>
              </w:rPr>
              <w:t>.</w:t>
            </w:r>
          </w:p>
        </w:tc>
      </w:tr>
      <w:tr w:rsidR="00AE7ADA" w:rsidRPr="007F577C" w:rsidTr="00AE7ADA">
        <w:trPr>
          <w:trHeight w:val="269"/>
        </w:trPr>
        <w:tc>
          <w:tcPr>
            <w:tcW w:w="3114" w:type="dxa"/>
            <w:tcBorders>
              <w:top w:val="single" w:sz="4" w:space="0" w:color="auto"/>
              <w:left w:val="single" w:sz="4" w:space="0" w:color="auto"/>
              <w:bottom w:val="nil"/>
              <w:right w:val="nil"/>
            </w:tcBorders>
            <w:shd w:val="clear" w:color="000000" w:fill="FFFFFF"/>
            <w:noWrap/>
            <w:vAlign w:val="bottom"/>
          </w:tcPr>
          <w:p w:rsidR="00956B0D" w:rsidRPr="005B7302" w:rsidRDefault="00956B0D" w:rsidP="009D1ED2">
            <w:pPr>
              <w:jc w:val="center"/>
              <w:rPr>
                <w:rFonts w:eastAsia="Times New Roman"/>
                <w:b/>
                <w:color w:val="000000"/>
                <w:lang w:eastAsia="es-PE"/>
              </w:rPr>
            </w:pPr>
            <w:r w:rsidRPr="005B7302">
              <w:rPr>
                <w:rFonts w:eastAsia="Times New Roman"/>
                <w:b/>
                <w:color w:val="000000"/>
                <w:lang w:eastAsia="es-PE"/>
              </w:rPr>
              <w:t>RAT_EFI</w:t>
            </w:r>
          </w:p>
        </w:tc>
        <w:tc>
          <w:tcPr>
            <w:tcW w:w="1526" w:type="dxa"/>
            <w:gridSpan w:val="2"/>
            <w:tcBorders>
              <w:top w:val="single" w:sz="4" w:space="0" w:color="auto"/>
              <w:left w:val="nil"/>
              <w:bottom w:val="nil"/>
              <w:right w:val="nil"/>
            </w:tcBorders>
            <w:shd w:val="clear" w:color="000000" w:fill="FFFFFF"/>
            <w:noWrap/>
            <w:vAlign w:val="bottom"/>
          </w:tcPr>
          <w:p w:rsidR="00956B0D" w:rsidRPr="005B7302" w:rsidRDefault="00956B0D" w:rsidP="009D1ED2">
            <w:pPr>
              <w:jc w:val="center"/>
              <w:rPr>
                <w:rFonts w:eastAsia="Times New Roman"/>
                <w:b/>
                <w:color w:val="000000"/>
                <w:lang w:eastAsia="es-PE"/>
              </w:rPr>
            </w:pPr>
            <w:r>
              <w:rPr>
                <w:rFonts w:eastAsia="Times New Roman"/>
                <w:b/>
                <w:color w:val="000000"/>
                <w:lang w:eastAsia="es-PE"/>
              </w:rPr>
              <w:t>-2.787291</w:t>
            </w:r>
          </w:p>
        </w:tc>
        <w:tc>
          <w:tcPr>
            <w:tcW w:w="1232" w:type="dxa"/>
            <w:tcBorders>
              <w:top w:val="single" w:sz="4" w:space="0" w:color="auto"/>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Pr>
                <w:rFonts w:eastAsia="Times New Roman"/>
                <w:color w:val="000000"/>
                <w:lang w:eastAsia="es-PE"/>
              </w:rPr>
              <w:t>0.696211</w:t>
            </w:r>
          </w:p>
        </w:tc>
        <w:tc>
          <w:tcPr>
            <w:tcW w:w="1494" w:type="dxa"/>
            <w:tcBorders>
              <w:top w:val="single" w:sz="4" w:space="0" w:color="auto"/>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Pr>
                <w:rFonts w:eastAsia="Times New Roman"/>
                <w:color w:val="000000"/>
                <w:lang w:eastAsia="es-PE"/>
              </w:rPr>
              <w:t>-4.003517</w:t>
            </w:r>
          </w:p>
        </w:tc>
        <w:tc>
          <w:tcPr>
            <w:tcW w:w="1142" w:type="dxa"/>
            <w:tcBorders>
              <w:top w:val="single" w:sz="4" w:space="0" w:color="auto"/>
              <w:left w:val="nil"/>
              <w:bottom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0.0002</w:t>
            </w:r>
          </w:p>
        </w:tc>
      </w:tr>
      <w:tr w:rsidR="00AE7ADA" w:rsidRPr="007F577C" w:rsidTr="00AE7ADA">
        <w:trPr>
          <w:trHeight w:val="269"/>
        </w:trPr>
        <w:tc>
          <w:tcPr>
            <w:tcW w:w="3114" w:type="dxa"/>
            <w:tcBorders>
              <w:top w:val="nil"/>
              <w:left w:val="single" w:sz="4" w:space="0" w:color="auto"/>
              <w:bottom w:val="nil"/>
              <w:right w:val="nil"/>
            </w:tcBorders>
            <w:shd w:val="clear" w:color="000000" w:fill="FFFFFF"/>
            <w:noWrap/>
            <w:vAlign w:val="bottom"/>
          </w:tcPr>
          <w:p w:rsidR="00956B0D" w:rsidRPr="005B7302" w:rsidRDefault="00956B0D" w:rsidP="009D1ED2">
            <w:pPr>
              <w:jc w:val="center"/>
              <w:rPr>
                <w:rFonts w:eastAsia="Times New Roman"/>
                <w:b/>
                <w:color w:val="000000"/>
                <w:lang w:eastAsia="es-PE"/>
              </w:rPr>
            </w:pPr>
            <w:r w:rsidRPr="005B7302">
              <w:rPr>
                <w:rFonts w:eastAsia="Times New Roman"/>
                <w:b/>
                <w:color w:val="000000"/>
                <w:lang w:eastAsia="es-PE"/>
              </w:rPr>
              <w:lastRenderedPageBreak/>
              <w:t>ROA</w:t>
            </w:r>
          </w:p>
        </w:tc>
        <w:tc>
          <w:tcPr>
            <w:tcW w:w="1526" w:type="dxa"/>
            <w:gridSpan w:val="2"/>
            <w:tcBorders>
              <w:top w:val="nil"/>
              <w:left w:val="nil"/>
              <w:bottom w:val="nil"/>
              <w:right w:val="nil"/>
            </w:tcBorders>
            <w:shd w:val="clear" w:color="000000" w:fill="FFFFFF"/>
            <w:noWrap/>
            <w:vAlign w:val="bottom"/>
          </w:tcPr>
          <w:p w:rsidR="00956B0D" w:rsidRPr="005B7302" w:rsidRDefault="00956B0D" w:rsidP="009D1ED2">
            <w:pPr>
              <w:jc w:val="center"/>
              <w:rPr>
                <w:rFonts w:eastAsia="Times New Roman"/>
                <w:b/>
                <w:color w:val="000000"/>
                <w:lang w:eastAsia="es-PE"/>
              </w:rPr>
            </w:pPr>
            <w:r>
              <w:rPr>
                <w:rFonts w:eastAsia="Times New Roman"/>
                <w:b/>
                <w:color w:val="000000"/>
                <w:lang w:eastAsia="es-PE"/>
              </w:rPr>
              <w:t>24.92653</w:t>
            </w:r>
          </w:p>
        </w:tc>
        <w:tc>
          <w:tcPr>
            <w:tcW w:w="1232"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Pr>
                <w:rFonts w:eastAsia="Times New Roman"/>
                <w:color w:val="000000"/>
                <w:lang w:eastAsia="es-PE"/>
              </w:rPr>
              <w:t>6.959930</w:t>
            </w:r>
          </w:p>
        </w:tc>
        <w:tc>
          <w:tcPr>
            <w:tcW w:w="1494"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Pr>
                <w:rFonts w:eastAsia="Times New Roman"/>
                <w:color w:val="000000"/>
                <w:lang w:eastAsia="es-PE"/>
              </w:rPr>
              <w:t>3.581434</w:t>
            </w:r>
          </w:p>
        </w:tc>
        <w:tc>
          <w:tcPr>
            <w:tcW w:w="1142" w:type="dxa"/>
            <w:tcBorders>
              <w:top w:val="nil"/>
              <w:left w:val="nil"/>
              <w:bottom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0.0010</w:t>
            </w:r>
          </w:p>
        </w:tc>
      </w:tr>
      <w:tr w:rsidR="00AE7ADA" w:rsidRPr="007F577C" w:rsidTr="00AE7ADA">
        <w:trPr>
          <w:trHeight w:val="258"/>
        </w:trPr>
        <w:tc>
          <w:tcPr>
            <w:tcW w:w="3114" w:type="dxa"/>
            <w:tcBorders>
              <w:top w:val="nil"/>
              <w:left w:val="single" w:sz="4" w:space="0" w:color="auto"/>
              <w:bottom w:val="nil"/>
              <w:right w:val="nil"/>
            </w:tcBorders>
            <w:shd w:val="clear" w:color="000000" w:fill="FFFFFF"/>
            <w:noWrap/>
            <w:vAlign w:val="bottom"/>
          </w:tcPr>
          <w:p w:rsidR="00956B0D" w:rsidRPr="005B7302" w:rsidRDefault="00956B0D" w:rsidP="009D1ED2">
            <w:pPr>
              <w:jc w:val="center"/>
              <w:rPr>
                <w:rFonts w:eastAsia="Times New Roman"/>
                <w:b/>
                <w:color w:val="000000"/>
                <w:lang w:eastAsia="es-PE"/>
              </w:rPr>
            </w:pPr>
            <w:r w:rsidRPr="005B7302">
              <w:rPr>
                <w:rFonts w:eastAsia="Times New Roman"/>
                <w:b/>
                <w:color w:val="000000"/>
                <w:lang w:eastAsia="es-PE"/>
              </w:rPr>
              <w:t>CAL_CARTE</w:t>
            </w:r>
          </w:p>
        </w:tc>
        <w:tc>
          <w:tcPr>
            <w:tcW w:w="1526" w:type="dxa"/>
            <w:gridSpan w:val="2"/>
            <w:tcBorders>
              <w:top w:val="nil"/>
              <w:left w:val="nil"/>
              <w:bottom w:val="nil"/>
              <w:right w:val="nil"/>
            </w:tcBorders>
            <w:shd w:val="clear" w:color="000000" w:fill="FFFFFF"/>
            <w:noWrap/>
            <w:vAlign w:val="bottom"/>
          </w:tcPr>
          <w:p w:rsidR="00956B0D" w:rsidRPr="005B7302" w:rsidRDefault="00956B0D" w:rsidP="009D1ED2">
            <w:pPr>
              <w:jc w:val="center"/>
              <w:rPr>
                <w:rFonts w:eastAsia="Times New Roman"/>
                <w:b/>
                <w:color w:val="000000"/>
                <w:lang w:eastAsia="es-PE"/>
              </w:rPr>
            </w:pPr>
            <w:r>
              <w:rPr>
                <w:rFonts w:eastAsia="Times New Roman"/>
                <w:b/>
                <w:color w:val="000000"/>
                <w:lang w:eastAsia="es-PE"/>
              </w:rPr>
              <w:t>0.105582</w:t>
            </w:r>
          </w:p>
        </w:tc>
        <w:tc>
          <w:tcPr>
            <w:tcW w:w="1232"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Pr>
                <w:rFonts w:eastAsia="Times New Roman"/>
                <w:color w:val="000000"/>
                <w:lang w:eastAsia="es-PE"/>
              </w:rPr>
              <w:t>0.015866</w:t>
            </w:r>
          </w:p>
        </w:tc>
        <w:tc>
          <w:tcPr>
            <w:tcW w:w="1494"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Pr>
                <w:rFonts w:eastAsia="Times New Roman"/>
                <w:color w:val="000000"/>
                <w:lang w:eastAsia="es-PE"/>
              </w:rPr>
              <w:t>6.654441</w:t>
            </w:r>
          </w:p>
        </w:tc>
        <w:tc>
          <w:tcPr>
            <w:tcW w:w="1142" w:type="dxa"/>
            <w:tcBorders>
              <w:top w:val="nil"/>
              <w:left w:val="nil"/>
              <w:bottom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0.0000</w:t>
            </w:r>
          </w:p>
        </w:tc>
      </w:tr>
      <w:tr w:rsidR="00AE7ADA" w:rsidRPr="007F577C" w:rsidTr="00AE7ADA">
        <w:trPr>
          <w:trHeight w:val="258"/>
        </w:trPr>
        <w:tc>
          <w:tcPr>
            <w:tcW w:w="3114" w:type="dxa"/>
            <w:tcBorders>
              <w:top w:val="nil"/>
              <w:left w:val="single" w:sz="4" w:space="0" w:color="auto"/>
              <w:bottom w:val="nil"/>
              <w:right w:val="nil"/>
            </w:tcBorders>
            <w:shd w:val="clear" w:color="000000" w:fill="FFFFFF"/>
            <w:noWrap/>
            <w:vAlign w:val="bottom"/>
          </w:tcPr>
          <w:p w:rsidR="00956B0D" w:rsidRPr="005B7302" w:rsidRDefault="00956B0D" w:rsidP="009D1ED2">
            <w:pPr>
              <w:jc w:val="center"/>
              <w:rPr>
                <w:rFonts w:eastAsia="Times New Roman"/>
                <w:b/>
                <w:color w:val="000000"/>
                <w:lang w:eastAsia="es-PE"/>
              </w:rPr>
            </w:pPr>
            <w:r w:rsidRPr="005B7302">
              <w:rPr>
                <w:rFonts w:eastAsia="Times New Roman"/>
                <w:b/>
                <w:color w:val="000000"/>
                <w:lang w:eastAsia="es-PE"/>
              </w:rPr>
              <w:t>REN_CART</w:t>
            </w:r>
          </w:p>
        </w:tc>
        <w:tc>
          <w:tcPr>
            <w:tcW w:w="1526" w:type="dxa"/>
            <w:gridSpan w:val="2"/>
            <w:tcBorders>
              <w:top w:val="nil"/>
              <w:left w:val="nil"/>
              <w:bottom w:val="nil"/>
              <w:right w:val="nil"/>
            </w:tcBorders>
            <w:shd w:val="clear" w:color="000000" w:fill="FFFFFF"/>
            <w:noWrap/>
            <w:vAlign w:val="bottom"/>
          </w:tcPr>
          <w:p w:rsidR="00956B0D" w:rsidRPr="005B7302" w:rsidRDefault="00956B0D" w:rsidP="009D1ED2">
            <w:pPr>
              <w:jc w:val="center"/>
              <w:rPr>
                <w:rFonts w:eastAsia="Times New Roman"/>
                <w:b/>
                <w:color w:val="000000"/>
                <w:lang w:eastAsia="es-PE"/>
              </w:rPr>
            </w:pPr>
            <w:r>
              <w:rPr>
                <w:rFonts w:eastAsia="Times New Roman"/>
                <w:b/>
                <w:color w:val="000000"/>
                <w:lang w:eastAsia="es-PE"/>
              </w:rPr>
              <w:t>-0.609060</w:t>
            </w:r>
          </w:p>
        </w:tc>
        <w:tc>
          <w:tcPr>
            <w:tcW w:w="1232"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Pr>
                <w:rFonts w:eastAsia="Times New Roman"/>
                <w:color w:val="000000"/>
                <w:lang w:eastAsia="es-PE"/>
              </w:rPr>
              <w:t>0.261341</w:t>
            </w:r>
          </w:p>
        </w:tc>
        <w:tc>
          <w:tcPr>
            <w:tcW w:w="1494" w:type="dxa"/>
            <w:tcBorders>
              <w:top w:val="nil"/>
              <w:left w:val="nil"/>
              <w:bottom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Pr>
                <w:rFonts w:eastAsia="Times New Roman"/>
                <w:color w:val="000000"/>
                <w:lang w:eastAsia="es-PE"/>
              </w:rPr>
              <w:t>-2.330517</w:t>
            </w:r>
          </w:p>
        </w:tc>
        <w:tc>
          <w:tcPr>
            <w:tcW w:w="1142" w:type="dxa"/>
            <w:tcBorders>
              <w:top w:val="nil"/>
              <w:left w:val="nil"/>
              <w:bottom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0.0249</w:t>
            </w:r>
          </w:p>
        </w:tc>
      </w:tr>
      <w:tr w:rsidR="00AE7ADA" w:rsidRPr="007F577C" w:rsidTr="00AE7ADA">
        <w:trPr>
          <w:trHeight w:val="258"/>
        </w:trPr>
        <w:tc>
          <w:tcPr>
            <w:tcW w:w="3114" w:type="dxa"/>
            <w:tcBorders>
              <w:top w:val="nil"/>
              <w:left w:val="single" w:sz="4" w:space="0" w:color="auto"/>
              <w:right w:val="nil"/>
            </w:tcBorders>
            <w:shd w:val="clear" w:color="000000" w:fill="FFFFFF"/>
            <w:noWrap/>
            <w:vAlign w:val="bottom"/>
          </w:tcPr>
          <w:p w:rsidR="00956B0D" w:rsidRPr="005B7302" w:rsidRDefault="00956B0D" w:rsidP="009D1ED2">
            <w:pPr>
              <w:jc w:val="center"/>
              <w:rPr>
                <w:rFonts w:eastAsia="Times New Roman"/>
                <w:b/>
                <w:color w:val="000000"/>
                <w:lang w:eastAsia="es-PE"/>
              </w:rPr>
            </w:pPr>
            <w:r w:rsidRPr="005B7302">
              <w:rPr>
                <w:rFonts w:eastAsia="Times New Roman"/>
                <w:b/>
                <w:color w:val="000000"/>
                <w:lang w:eastAsia="es-PE"/>
              </w:rPr>
              <w:t>IBGC</w:t>
            </w:r>
          </w:p>
        </w:tc>
        <w:tc>
          <w:tcPr>
            <w:tcW w:w="1526" w:type="dxa"/>
            <w:gridSpan w:val="2"/>
            <w:tcBorders>
              <w:top w:val="nil"/>
              <w:left w:val="nil"/>
              <w:right w:val="nil"/>
            </w:tcBorders>
            <w:shd w:val="clear" w:color="000000" w:fill="FFFFFF"/>
            <w:noWrap/>
            <w:vAlign w:val="bottom"/>
          </w:tcPr>
          <w:p w:rsidR="00956B0D" w:rsidRPr="005B7302" w:rsidRDefault="00956B0D" w:rsidP="009D1ED2">
            <w:pPr>
              <w:jc w:val="center"/>
              <w:rPr>
                <w:rFonts w:eastAsia="Times New Roman"/>
                <w:b/>
                <w:color w:val="000000"/>
                <w:lang w:eastAsia="es-PE"/>
              </w:rPr>
            </w:pPr>
            <w:r>
              <w:rPr>
                <w:rFonts w:eastAsia="Times New Roman"/>
                <w:b/>
                <w:color w:val="000000"/>
                <w:lang w:eastAsia="es-PE"/>
              </w:rPr>
              <w:t>0.925554</w:t>
            </w:r>
          </w:p>
        </w:tc>
        <w:tc>
          <w:tcPr>
            <w:tcW w:w="1232" w:type="dxa"/>
            <w:tcBorders>
              <w:top w:val="nil"/>
              <w:left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Pr>
                <w:rFonts w:eastAsia="Times New Roman"/>
                <w:color w:val="000000"/>
                <w:lang w:eastAsia="es-PE"/>
              </w:rPr>
              <w:t>0.186325</w:t>
            </w:r>
          </w:p>
        </w:tc>
        <w:tc>
          <w:tcPr>
            <w:tcW w:w="1494" w:type="dxa"/>
            <w:tcBorders>
              <w:top w:val="nil"/>
              <w:left w:val="nil"/>
              <w:right w:val="nil"/>
            </w:tcBorders>
            <w:shd w:val="clear" w:color="000000" w:fill="FFFFFF"/>
            <w:noWrap/>
            <w:vAlign w:val="bottom"/>
          </w:tcPr>
          <w:p w:rsidR="00956B0D" w:rsidRPr="007F577C" w:rsidRDefault="00956B0D" w:rsidP="009D1ED2">
            <w:pPr>
              <w:jc w:val="right"/>
              <w:rPr>
                <w:rFonts w:eastAsia="Times New Roman"/>
                <w:color w:val="000000"/>
                <w:lang w:eastAsia="es-PE"/>
              </w:rPr>
            </w:pPr>
            <w:r>
              <w:rPr>
                <w:rFonts w:eastAsia="Times New Roman"/>
                <w:color w:val="000000"/>
                <w:lang w:eastAsia="es-PE"/>
              </w:rPr>
              <w:t>4.967417</w:t>
            </w:r>
          </w:p>
        </w:tc>
        <w:tc>
          <w:tcPr>
            <w:tcW w:w="1142" w:type="dxa"/>
            <w:tcBorders>
              <w:top w:val="nil"/>
              <w:left w:val="nil"/>
              <w:right w:val="single" w:sz="4" w:space="0" w:color="auto"/>
            </w:tcBorders>
            <w:shd w:val="clear" w:color="000000" w:fill="FFFFFF"/>
            <w:noWrap/>
            <w:vAlign w:val="bottom"/>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0.0000</w:t>
            </w:r>
          </w:p>
        </w:tc>
      </w:tr>
      <w:tr w:rsidR="00AE7ADA" w:rsidRPr="007F577C" w:rsidTr="00AE7ADA">
        <w:trPr>
          <w:trHeight w:val="312"/>
        </w:trPr>
        <w:tc>
          <w:tcPr>
            <w:tcW w:w="3114" w:type="dxa"/>
            <w:tcBorders>
              <w:top w:val="nil"/>
              <w:left w:val="single" w:sz="4" w:space="0" w:color="auto"/>
              <w:bottom w:val="single" w:sz="4" w:space="0" w:color="auto"/>
              <w:right w:val="nil"/>
            </w:tcBorders>
            <w:shd w:val="clear" w:color="000000" w:fill="FFFFFF"/>
            <w:noWrap/>
            <w:vAlign w:val="bottom"/>
            <w:hideMark/>
          </w:tcPr>
          <w:p w:rsidR="00956B0D" w:rsidRPr="005B7302" w:rsidRDefault="00956B0D" w:rsidP="009D1ED2">
            <w:pPr>
              <w:jc w:val="center"/>
              <w:rPr>
                <w:rFonts w:eastAsia="Times New Roman"/>
                <w:b/>
                <w:color w:val="000000"/>
                <w:lang w:eastAsia="es-PE"/>
              </w:rPr>
            </w:pPr>
            <w:r w:rsidRPr="005B7302">
              <w:rPr>
                <w:rFonts w:eastAsia="Times New Roman"/>
                <w:b/>
                <w:color w:val="000000"/>
                <w:lang w:eastAsia="es-PE"/>
              </w:rPr>
              <w:t>C</w:t>
            </w:r>
          </w:p>
        </w:tc>
        <w:tc>
          <w:tcPr>
            <w:tcW w:w="1526" w:type="dxa"/>
            <w:gridSpan w:val="2"/>
            <w:tcBorders>
              <w:top w:val="nil"/>
              <w:left w:val="nil"/>
              <w:bottom w:val="single" w:sz="4" w:space="0" w:color="auto"/>
              <w:right w:val="nil"/>
            </w:tcBorders>
            <w:shd w:val="clear" w:color="000000" w:fill="FFFFFF"/>
            <w:noWrap/>
            <w:vAlign w:val="bottom"/>
            <w:hideMark/>
          </w:tcPr>
          <w:p w:rsidR="00956B0D" w:rsidRPr="005B7302" w:rsidRDefault="00956B0D" w:rsidP="009D1ED2">
            <w:pPr>
              <w:jc w:val="center"/>
              <w:rPr>
                <w:rFonts w:eastAsia="Times New Roman"/>
                <w:b/>
                <w:color w:val="000000"/>
                <w:lang w:eastAsia="es-PE"/>
              </w:rPr>
            </w:pPr>
            <w:r>
              <w:rPr>
                <w:rFonts w:eastAsia="Times New Roman"/>
                <w:b/>
                <w:color w:val="000000"/>
                <w:lang w:eastAsia="es-PE"/>
              </w:rPr>
              <w:t>1.932816</w:t>
            </w:r>
          </w:p>
        </w:tc>
        <w:tc>
          <w:tcPr>
            <w:tcW w:w="1232" w:type="dxa"/>
            <w:tcBorders>
              <w:top w:val="nil"/>
              <w:left w:val="nil"/>
              <w:bottom w:val="single" w:sz="4" w:space="0" w:color="auto"/>
              <w:right w:val="nil"/>
            </w:tcBorders>
            <w:shd w:val="clear" w:color="000000" w:fill="FFFFFF"/>
            <w:noWrap/>
            <w:vAlign w:val="center"/>
            <w:hideMark/>
          </w:tcPr>
          <w:p w:rsidR="00956B0D" w:rsidRPr="007F577C" w:rsidRDefault="00956B0D" w:rsidP="009D1ED2">
            <w:pPr>
              <w:jc w:val="right"/>
              <w:rPr>
                <w:rFonts w:eastAsia="Times New Roman"/>
                <w:color w:val="000000"/>
                <w:lang w:eastAsia="es-PE"/>
              </w:rPr>
            </w:pPr>
            <w:r>
              <w:rPr>
                <w:rFonts w:eastAsia="Times New Roman"/>
                <w:color w:val="000000"/>
                <w:lang w:eastAsia="es-PE"/>
              </w:rPr>
              <w:t>0.466074</w:t>
            </w:r>
          </w:p>
        </w:tc>
        <w:tc>
          <w:tcPr>
            <w:tcW w:w="1494" w:type="dxa"/>
            <w:tcBorders>
              <w:top w:val="nil"/>
              <w:left w:val="nil"/>
              <w:bottom w:val="single" w:sz="4" w:space="0" w:color="auto"/>
              <w:right w:val="nil"/>
            </w:tcBorders>
            <w:shd w:val="clear" w:color="000000" w:fill="FFFFFF"/>
            <w:noWrap/>
            <w:vAlign w:val="center"/>
            <w:hideMark/>
          </w:tcPr>
          <w:p w:rsidR="00956B0D" w:rsidRPr="007F577C" w:rsidRDefault="00956B0D" w:rsidP="009D1ED2">
            <w:pPr>
              <w:jc w:val="right"/>
              <w:rPr>
                <w:rFonts w:eastAsia="Times New Roman"/>
                <w:color w:val="000000"/>
                <w:lang w:eastAsia="es-PE"/>
              </w:rPr>
            </w:pPr>
            <w:r>
              <w:rPr>
                <w:rFonts w:eastAsia="Times New Roman"/>
                <w:color w:val="000000"/>
                <w:lang w:eastAsia="es-PE"/>
              </w:rPr>
              <w:t>4.147018</w:t>
            </w:r>
          </w:p>
        </w:tc>
        <w:tc>
          <w:tcPr>
            <w:tcW w:w="1142" w:type="dxa"/>
            <w:tcBorders>
              <w:top w:val="nil"/>
              <w:left w:val="nil"/>
              <w:bottom w:val="single" w:sz="4" w:space="0" w:color="auto"/>
              <w:right w:val="single" w:sz="4" w:space="0" w:color="auto"/>
            </w:tcBorders>
            <w:shd w:val="clear" w:color="000000" w:fill="FFFFFF"/>
            <w:noWrap/>
            <w:vAlign w:val="center"/>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w:t>
            </w:r>
            <w:r>
              <w:rPr>
                <w:rFonts w:eastAsia="Times New Roman"/>
                <w:color w:val="000000"/>
                <w:lang w:eastAsia="es-PE"/>
              </w:rPr>
              <w:t>0</w:t>
            </w:r>
            <w:r w:rsidRPr="007F577C">
              <w:rPr>
                <w:rFonts w:eastAsia="Times New Roman"/>
                <w:color w:val="000000"/>
                <w:lang w:eastAsia="es-PE"/>
              </w:rPr>
              <w:t>001</w:t>
            </w:r>
          </w:p>
        </w:tc>
      </w:tr>
      <w:tr w:rsidR="00AE7ADA" w:rsidRPr="007F577C" w:rsidTr="00AE7ADA">
        <w:trPr>
          <w:trHeight w:val="269"/>
        </w:trPr>
        <w:tc>
          <w:tcPr>
            <w:tcW w:w="3114" w:type="dxa"/>
            <w:tcBorders>
              <w:top w:val="single" w:sz="4" w:space="0" w:color="auto"/>
              <w:left w:val="single" w:sz="4" w:space="0" w:color="auto"/>
              <w:bottom w:val="nil"/>
              <w:right w:val="nil"/>
            </w:tcBorders>
            <w:shd w:val="clear" w:color="000000" w:fill="FFFFFF"/>
            <w:noWrap/>
            <w:vAlign w:val="bottom"/>
            <w:hideMark/>
          </w:tcPr>
          <w:p w:rsidR="00956B0D" w:rsidRPr="005B7302" w:rsidRDefault="00956B0D" w:rsidP="009D1ED2">
            <w:pPr>
              <w:rPr>
                <w:rFonts w:eastAsia="Times New Roman"/>
                <w:b/>
                <w:color w:val="000000"/>
                <w:lang w:eastAsia="es-PE"/>
              </w:rPr>
            </w:pPr>
            <w:r w:rsidRPr="005B7302">
              <w:rPr>
                <w:rFonts w:eastAsia="Times New Roman"/>
                <w:b/>
                <w:color w:val="000000"/>
                <w:lang w:eastAsia="es-PE"/>
              </w:rPr>
              <w:t>R-</w:t>
            </w:r>
            <w:proofErr w:type="spellStart"/>
            <w:r w:rsidRPr="005B7302">
              <w:rPr>
                <w:rFonts w:eastAsia="Times New Roman"/>
                <w:b/>
                <w:color w:val="000000"/>
                <w:lang w:eastAsia="es-PE"/>
              </w:rPr>
              <w:t>squared</w:t>
            </w:r>
            <w:proofErr w:type="spellEnd"/>
          </w:p>
        </w:tc>
        <w:tc>
          <w:tcPr>
            <w:tcW w:w="1526" w:type="dxa"/>
            <w:gridSpan w:val="2"/>
            <w:tcBorders>
              <w:top w:val="single" w:sz="4" w:space="0" w:color="auto"/>
              <w:left w:val="nil"/>
              <w:bottom w:val="nil"/>
              <w:right w:val="nil"/>
            </w:tcBorders>
            <w:shd w:val="clear" w:color="000000" w:fill="FFFFFF"/>
            <w:noWrap/>
            <w:vAlign w:val="bottom"/>
            <w:hideMark/>
          </w:tcPr>
          <w:p w:rsidR="00956B0D" w:rsidRPr="005B7302" w:rsidRDefault="00956B0D" w:rsidP="009D1ED2">
            <w:pPr>
              <w:jc w:val="center"/>
              <w:rPr>
                <w:rFonts w:eastAsia="Times New Roman"/>
                <w:b/>
                <w:color w:val="000000"/>
                <w:lang w:eastAsia="es-PE"/>
              </w:rPr>
            </w:pPr>
            <w:r>
              <w:rPr>
                <w:rFonts w:eastAsia="Times New Roman"/>
                <w:b/>
                <w:color w:val="000000"/>
                <w:lang w:eastAsia="es-PE"/>
              </w:rPr>
              <w:t>0.656244</w:t>
            </w:r>
          </w:p>
        </w:tc>
        <w:tc>
          <w:tcPr>
            <w:tcW w:w="2726" w:type="dxa"/>
            <w:gridSpan w:val="2"/>
            <w:tcBorders>
              <w:top w:val="single" w:sz="4" w:space="0" w:color="auto"/>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 xml:space="preserve">   Mean </w:t>
            </w:r>
            <w:proofErr w:type="spellStart"/>
            <w:r w:rsidRPr="007F577C">
              <w:rPr>
                <w:rFonts w:eastAsia="Times New Roman"/>
                <w:color w:val="000000"/>
                <w:lang w:eastAsia="es-PE"/>
              </w:rPr>
              <w:t>dependent</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var</w:t>
            </w:r>
            <w:proofErr w:type="spellEnd"/>
          </w:p>
        </w:tc>
        <w:tc>
          <w:tcPr>
            <w:tcW w:w="1142" w:type="dxa"/>
            <w:tcBorders>
              <w:top w:val="single" w:sz="4" w:space="0" w:color="auto"/>
              <w:left w:val="nil"/>
              <w:bottom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1.830442</w:t>
            </w:r>
          </w:p>
        </w:tc>
      </w:tr>
      <w:tr w:rsidR="00AE7ADA" w:rsidRPr="007F577C" w:rsidTr="00AE7ADA">
        <w:trPr>
          <w:trHeight w:val="258"/>
        </w:trPr>
        <w:tc>
          <w:tcPr>
            <w:tcW w:w="3114" w:type="dxa"/>
            <w:tcBorders>
              <w:top w:val="nil"/>
              <w:left w:val="single" w:sz="4" w:space="0" w:color="auto"/>
              <w:bottom w:val="nil"/>
              <w:right w:val="nil"/>
            </w:tcBorders>
            <w:shd w:val="clear" w:color="000000" w:fill="FFFFFF"/>
            <w:noWrap/>
            <w:vAlign w:val="bottom"/>
            <w:hideMark/>
          </w:tcPr>
          <w:p w:rsidR="00956B0D" w:rsidRPr="005B7302" w:rsidRDefault="00956B0D" w:rsidP="009D1ED2">
            <w:pPr>
              <w:rPr>
                <w:rFonts w:eastAsia="Times New Roman"/>
                <w:b/>
                <w:color w:val="000000"/>
                <w:lang w:eastAsia="es-PE"/>
              </w:rPr>
            </w:pPr>
            <w:proofErr w:type="spellStart"/>
            <w:r w:rsidRPr="005B7302">
              <w:rPr>
                <w:rFonts w:eastAsia="Times New Roman"/>
                <w:b/>
                <w:color w:val="000000"/>
                <w:lang w:eastAsia="es-PE"/>
              </w:rPr>
              <w:t>Adjusted</w:t>
            </w:r>
            <w:proofErr w:type="spellEnd"/>
            <w:r w:rsidRPr="005B7302">
              <w:rPr>
                <w:rFonts w:eastAsia="Times New Roman"/>
                <w:b/>
                <w:color w:val="000000"/>
                <w:lang w:eastAsia="es-PE"/>
              </w:rPr>
              <w:t xml:space="preserve"> R-</w:t>
            </w:r>
            <w:proofErr w:type="spellStart"/>
            <w:r w:rsidRPr="005B7302">
              <w:rPr>
                <w:rFonts w:eastAsia="Times New Roman"/>
                <w:b/>
                <w:color w:val="000000"/>
                <w:lang w:eastAsia="es-PE"/>
              </w:rPr>
              <w:t>squared</w:t>
            </w:r>
            <w:proofErr w:type="spellEnd"/>
          </w:p>
        </w:tc>
        <w:tc>
          <w:tcPr>
            <w:tcW w:w="1526" w:type="dxa"/>
            <w:gridSpan w:val="2"/>
            <w:tcBorders>
              <w:top w:val="nil"/>
              <w:left w:val="nil"/>
              <w:bottom w:val="nil"/>
              <w:right w:val="nil"/>
            </w:tcBorders>
            <w:shd w:val="clear" w:color="000000" w:fill="FFFFFF"/>
            <w:noWrap/>
            <w:vAlign w:val="bottom"/>
            <w:hideMark/>
          </w:tcPr>
          <w:p w:rsidR="00956B0D" w:rsidRPr="005B7302" w:rsidRDefault="00956B0D" w:rsidP="009D1ED2">
            <w:pPr>
              <w:jc w:val="center"/>
              <w:rPr>
                <w:rFonts w:eastAsia="Times New Roman"/>
                <w:b/>
                <w:color w:val="000000"/>
                <w:lang w:eastAsia="es-PE"/>
              </w:rPr>
            </w:pPr>
            <w:r>
              <w:rPr>
                <w:rFonts w:eastAsia="Times New Roman"/>
                <w:b/>
                <w:color w:val="000000"/>
                <w:lang w:eastAsia="es-PE"/>
              </w:rPr>
              <w:t>0.624415</w:t>
            </w:r>
          </w:p>
        </w:tc>
        <w:tc>
          <w:tcPr>
            <w:tcW w:w="2726"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 xml:space="preserve">S.D. </w:t>
            </w:r>
            <w:proofErr w:type="spellStart"/>
            <w:r w:rsidRPr="007F577C">
              <w:rPr>
                <w:rFonts w:eastAsia="Times New Roman"/>
                <w:color w:val="000000"/>
                <w:lang w:eastAsia="es-PE"/>
              </w:rPr>
              <w:t>dependent</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var</w:t>
            </w:r>
            <w:proofErr w:type="spellEnd"/>
          </w:p>
        </w:tc>
        <w:tc>
          <w:tcPr>
            <w:tcW w:w="1142" w:type="dxa"/>
            <w:tcBorders>
              <w:top w:val="nil"/>
              <w:left w:val="nil"/>
              <w:bottom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0.813383</w:t>
            </w:r>
          </w:p>
        </w:tc>
      </w:tr>
      <w:tr w:rsidR="00AE7ADA" w:rsidRPr="007F577C" w:rsidTr="00AE7ADA">
        <w:trPr>
          <w:trHeight w:val="258"/>
        </w:trPr>
        <w:tc>
          <w:tcPr>
            <w:tcW w:w="3114" w:type="dxa"/>
            <w:tcBorders>
              <w:top w:val="nil"/>
              <w:left w:val="single" w:sz="4" w:space="0" w:color="auto"/>
              <w:bottom w:val="nil"/>
              <w:right w:val="nil"/>
            </w:tcBorders>
            <w:shd w:val="clear" w:color="000000" w:fill="FFFFFF"/>
            <w:noWrap/>
            <w:vAlign w:val="bottom"/>
            <w:hideMark/>
          </w:tcPr>
          <w:p w:rsidR="00956B0D" w:rsidRPr="007F577C" w:rsidRDefault="00956B0D" w:rsidP="009D1ED2">
            <w:pPr>
              <w:rPr>
                <w:rFonts w:eastAsia="Times New Roman"/>
                <w:color w:val="000000"/>
                <w:lang w:eastAsia="es-PE"/>
              </w:rPr>
            </w:pPr>
            <w:r w:rsidRPr="007F577C">
              <w:rPr>
                <w:rFonts w:eastAsia="Times New Roman"/>
                <w:color w:val="000000"/>
                <w:lang w:eastAsia="es-PE"/>
              </w:rPr>
              <w:t xml:space="preserve">S.E. of </w:t>
            </w:r>
            <w:proofErr w:type="spellStart"/>
            <w:r w:rsidRPr="007F577C">
              <w:rPr>
                <w:rFonts w:eastAsia="Times New Roman"/>
                <w:color w:val="000000"/>
                <w:lang w:eastAsia="es-PE"/>
              </w:rPr>
              <w:t>regression</w:t>
            </w:r>
            <w:proofErr w:type="spellEnd"/>
          </w:p>
        </w:tc>
        <w:tc>
          <w:tcPr>
            <w:tcW w:w="1526"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Pr>
                <w:rFonts w:eastAsia="Times New Roman"/>
                <w:color w:val="000000"/>
                <w:lang w:eastAsia="es-PE"/>
              </w:rPr>
              <w:t>0.498482</w:t>
            </w:r>
          </w:p>
        </w:tc>
        <w:tc>
          <w:tcPr>
            <w:tcW w:w="2726"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 xml:space="preserve">  </w:t>
            </w:r>
            <w:proofErr w:type="spellStart"/>
            <w:r w:rsidRPr="007F577C">
              <w:rPr>
                <w:rFonts w:eastAsia="Times New Roman"/>
                <w:color w:val="000000"/>
                <w:lang w:eastAsia="es-PE"/>
              </w:rPr>
              <w:t>Akaike</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info</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criterion</w:t>
            </w:r>
            <w:proofErr w:type="spellEnd"/>
          </w:p>
        </w:tc>
        <w:tc>
          <w:tcPr>
            <w:tcW w:w="1142" w:type="dxa"/>
            <w:tcBorders>
              <w:top w:val="nil"/>
              <w:left w:val="nil"/>
              <w:bottom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Pr>
                <w:rFonts w:eastAsia="Times New Roman"/>
                <w:color w:val="000000"/>
                <w:lang w:eastAsia="es-PE"/>
              </w:rPr>
              <w:t>1.540139</w:t>
            </w:r>
          </w:p>
        </w:tc>
      </w:tr>
      <w:tr w:rsidR="00AE7ADA" w:rsidRPr="007F577C" w:rsidTr="00AE7ADA">
        <w:trPr>
          <w:trHeight w:val="333"/>
        </w:trPr>
        <w:tc>
          <w:tcPr>
            <w:tcW w:w="3114" w:type="dxa"/>
            <w:tcBorders>
              <w:top w:val="nil"/>
              <w:left w:val="single" w:sz="4" w:space="0" w:color="auto"/>
              <w:bottom w:val="nil"/>
              <w:right w:val="nil"/>
            </w:tcBorders>
            <w:shd w:val="clear" w:color="000000" w:fill="FFFFFF"/>
            <w:noWrap/>
            <w:vAlign w:val="bottom"/>
            <w:hideMark/>
          </w:tcPr>
          <w:p w:rsidR="00956B0D" w:rsidRPr="007F577C" w:rsidRDefault="00956B0D" w:rsidP="009D1ED2">
            <w:pPr>
              <w:rPr>
                <w:rFonts w:eastAsia="Times New Roman"/>
                <w:color w:val="000000"/>
                <w:lang w:eastAsia="es-PE"/>
              </w:rPr>
            </w:pPr>
            <w:r w:rsidRPr="007F577C">
              <w:rPr>
                <w:rFonts w:eastAsia="Times New Roman"/>
                <w:color w:val="000000"/>
                <w:lang w:eastAsia="es-PE"/>
              </w:rPr>
              <w:t xml:space="preserve">Sum </w:t>
            </w:r>
            <w:proofErr w:type="spellStart"/>
            <w:r w:rsidRPr="007F577C">
              <w:rPr>
                <w:rFonts w:eastAsia="Times New Roman"/>
                <w:color w:val="000000"/>
                <w:lang w:eastAsia="es-PE"/>
              </w:rPr>
              <w:t>squared</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resid</w:t>
            </w:r>
            <w:proofErr w:type="spellEnd"/>
          </w:p>
        </w:tc>
        <w:tc>
          <w:tcPr>
            <w:tcW w:w="1526"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Pr>
                <w:rFonts w:eastAsia="Times New Roman"/>
                <w:color w:val="000000"/>
                <w:lang w:eastAsia="es-PE"/>
              </w:rPr>
              <w:t>13.41813</w:t>
            </w:r>
          </w:p>
        </w:tc>
        <w:tc>
          <w:tcPr>
            <w:tcW w:w="2726"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proofErr w:type="spellStart"/>
            <w:r w:rsidRPr="007F577C">
              <w:rPr>
                <w:rFonts w:eastAsia="Times New Roman"/>
                <w:color w:val="000000"/>
                <w:lang w:eastAsia="es-PE"/>
              </w:rPr>
              <w:t>Schwarz</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criterion</w:t>
            </w:r>
            <w:proofErr w:type="spellEnd"/>
          </w:p>
        </w:tc>
        <w:tc>
          <w:tcPr>
            <w:tcW w:w="1142" w:type="dxa"/>
            <w:tcBorders>
              <w:top w:val="nil"/>
              <w:left w:val="nil"/>
              <w:bottom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Pr>
                <w:rFonts w:eastAsia="Times New Roman"/>
                <w:color w:val="000000"/>
                <w:lang w:eastAsia="es-PE"/>
              </w:rPr>
              <w:t>1.749574</w:t>
            </w:r>
          </w:p>
        </w:tc>
      </w:tr>
      <w:tr w:rsidR="00AE7ADA" w:rsidRPr="007F577C" w:rsidTr="00AE7ADA">
        <w:trPr>
          <w:trHeight w:val="258"/>
        </w:trPr>
        <w:tc>
          <w:tcPr>
            <w:tcW w:w="3114" w:type="dxa"/>
            <w:tcBorders>
              <w:top w:val="nil"/>
              <w:left w:val="single" w:sz="4" w:space="0" w:color="auto"/>
              <w:bottom w:val="nil"/>
              <w:right w:val="nil"/>
            </w:tcBorders>
            <w:shd w:val="clear" w:color="000000" w:fill="FFFFFF"/>
            <w:noWrap/>
            <w:vAlign w:val="bottom"/>
            <w:hideMark/>
          </w:tcPr>
          <w:p w:rsidR="00956B0D" w:rsidRPr="007F577C" w:rsidRDefault="00956B0D" w:rsidP="009D1ED2">
            <w:pPr>
              <w:rPr>
                <w:rFonts w:eastAsia="Times New Roman"/>
                <w:color w:val="000000"/>
                <w:lang w:eastAsia="es-PE"/>
              </w:rPr>
            </w:pPr>
            <w:r w:rsidRPr="007F577C">
              <w:rPr>
                <w:rFonts w:eastAsia="Times New Roman"/>
                <w:color w:val="000000"/>
                <w:lang w:eastAsia="es-PE"/>
              </w:rPr>
              <w:t xml:space="preserve">Log </w:t>
            </w:r>
            <w:proofErr w:type="spellStart"/>
            <w:r w:rsidRPr="007F577C">
              <w:rPr>
                <w:rFonts w:eastAsia="Times New Roman"/>
                <w:color w:val="000000"/>
                <w:lang w:eastAsia="es-PE"/>
              </w:rPr>
              <w:t>likelihood</w:t>
            </w:r>
            <w:proofErr w:type="spellEnd"/>
          </w:p>
        </w:tc>
        <w:tc>
          <w:tcPr>
            <w:tcW w:w="1526"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Pr>
                <w:rFonts w:eastAsia="Times New Roman"/>
                <w:color w:val="000000"/>
                <w:lang w:eastAsia="es-PE"/>
              </w:rPr>
              <w:t>-40.20418</w:t>
            </w:r>
          </w:p>
        </w:tc>
        <w:tc>
          <w:tcPr>
            <w:tcW w:w="2726" w:type="dxa"/>
            <w:gridSpan w:val="2"/>
            <w:tcBorders>
              <w:top w:val="nil"/>
              <w:left w:val="nil"/>
              <w:bottom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 xml:space="preserve">     </w:t>
            </w:r>
            <w:proofErr w:type="spellStart"/>
            <w:r w:rsidRPr="007F577C">
              <w:rPr>
                <w:rFonts w:eastAsia="Times New Roman"/>
                <w:color w:val="000000"/>
                <w:lang w:eastAsia="es-PE"/>
              </w:rPr>
              <w:t>Hannan-Quinn</w:t>
            </w:r>
            <w:proofErr w:type="spellEnd"/>
            <w:r w:rsidRPr="007F577C">
              <w:rPr>
                <w:rFonts w:eastAsia="Times New Roman"/>
                <w:color w:val="000000"/>
                <w:lang w:eastAsia="es-PE"/>
              </w:rPr>
              <w:t xml:space="preserve"> </w:t>
            </w:r>
            <w:proofErr w:type="spellStart"/>
            <w:r w:rsidRPr="007F577C">
              <w:rPr>
                <w:rFonts w:eastAsia="Times New Roman"/>
                <w:color w:val="000000"/>
                <w:lang w:eastAsia="es-PE"/>
              </w:rPr>
              <w:t>criter</w:t>
            </w:r>
            <w:proofErr w:type="spellEnd"/>
          </w:p>
        </w:tc>
        <w:tc>
          <w:tcPr>
            <w:tcW w:w="1142" w:type="dxa"/>
            <w:tcBorders>
              <w:top w:val="nil"/>
              <w:left w:val="nil"/>
              <w:bottom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Pr>
                <w:rFonts w:eastAsia="Times New Roman"/>
                <w:color w:val="000000"/>
                <w:lang w:eastAsia="es-PE"/>
              </w:rPr>
              <w:t>1.622061</w:t>
            </w:r>
          </w:p>
        </w:tc>
      </w:tr>
      <w:tr w:rsidR="00AE7ADA" w:rsidRPr="007F577C" w:rsidTr="00AE7ADA">
        <w:trPr>
          <w:trHeight w:val="258"/>
        </w:trPr>
        <w:tc>
          <w:tcPr>
            <w:tcW w:w="3114" w:type="dxa"/>
            <w:tcBorders>
              <w:top w:val="nil"/>
              <w:left w:val="single" w:sz="4" w:space="0" w:color="auto"/>
              <w:right w:val="nil"/>
            </w:tcBorders>
            <w:shd w:val="clear" w:color="000000" w:fill="FFFFFF"/>
            <w:noWrap/>
            <w:vAlign w:val="bottom"/>
            <w:hideMark/>
          </w:tcPr>
          <w:p w:rsidR="00956B0D" w:rsidRPr="007F577C" w:rsidRDefault="00956B0D" w:rsidP="009D1ED2">
            <w:pPr>
              <w:rPr>
                <w:rFonts w:eastAsia="Times New Roman"/>
                <w:color w:val="000000"/>
                <w:lang w:eastAsia="es-PE"/>
              </w:rPr>
            </w:pPr>
            <w:r w:rsidRPr="007F577C">
              <w:rPr>
                <w:rFonts w:eastAsia="Times New Roman"/>
                <w:color w:val="000000"/>
                <w:lang w:eastAsia="es-PE"/>
              </w:rPr>
              <w:t>F-</w:t>
            </w:r>
            <w:proofErr w:type="spellStart"/>
            <w:r w:rsidRPr="007F577C">
              <w:rPr>
                <w:rFonts w:eastAsia="Times New Roman"/>
                <w:color w:val="000000"/>
                <w:lang w:eastAsia="es-PE"/>
              </w:rPr>
              <w:t>statistic</w:t>
            </w:r>
            <w:proofErr w:type="spellEnd"/>
          </w:p>
        </w:tc>
        <w:tc>
          <w:tcPr>
            <w:tcW w:w="1526" w:type="dxa"/>
            <w:gridSpan w:val="2"/>
            <w:tcBorders>
              <w:top w:val="nil"/>
              <w:left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Pr>
                <w:rFonts w:eastAsia="Times New Roman"/>
                <w:color w:val="000000"/>
                <w:lang w:eastAsia="es-PE"/>
              </w:rPr>
              <w:t>20.61766</w:t>
            </w:r>
          </w:p>
        </w:tc>
        <w:tc>
          <w:tcPr>
            <w:tcW w:w="2726" w:type="dxa"/>
            <w:gridSpan w:val="2"/>
            <w:tcBorders>
              <w:top w:val="nil"/>
              <w:left w:val="nil"/>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 xml:space="preserve">    </w:t>
            </w:r>
            <w:proofErr w:type="spellStart"/>
            <w:r w:rsidRPr="007F577C">
              <w:rPr>
                <w:rFonts w:eastAsia="Times New Roman"/>
                <w:color w:val="000000"/>
                <w:lang w:eastAsia="es-PE"/>
              </w:rPr>
              <w:t>Durbin</w:t>
            </w:r>
            <w:proofErr w:type="spellEnd"/>
            <w:r w:rsidRPr="007F577C">
              <w:rPr>
                <w:rFonts w:eastAsia="Times New Roman"/>
                <w:color w:val="000000"/>
                <w:lang w:eastAsia="es-PE"/>
              </w:rPr>
              <w:t xml:space="preserve">-Watson </w:t>
            </w:r>
            <w:proofErr w:type="spellStart"/>
            <w:r w:rsidRPr="007F577C">
              <w:rPr>
                <w:rFonts w:eastAsia="Times New Roman"/>
                <w:color w:val="000000"/>
                <w:lang w:eastAsia="es-PE"/>
              </w:rPr>
              <w:t>stat</w:t>
            </w:r>
            <w:proofErr w:type="spellEnd"/>
          </w:p>
        </w:tc>
        <w:tc>
          <w:tcPr>
            <w:tcW w:w="1142" w:type="dxa"/>
            <w:tcBorders>
              <w:top w:val="nil"/>
              <w:left w:val="nil"/>
              <w:right w:val="single" w:sz="4" w:space="0" w:color="auto"/>
            </w:tcBorders>
            <w:shd w:val="clear" w:color="000000" w:fill="FFFFFF"/>
            <w:noWrap/>
            <w:vAlign w:val="bottom"/>
            <w:hideMark/>
          </w:tcPr>
          <w:p w:rsidR="00956B0D" w:rsidRPr="007F577C" w:rsidRDefault="00956B0D" w:rsidP="009D1ED2">
            <w:pPr>
              <w:jc w:val="right"/>
              <w:rPr>
                <w:rFonts w:eastAsia="Times New Roman"/>
                <w:color w:val="000000"/>
                <w:lang w:eastAsia="es-PE"/>
              </w:rPr>
            </w:pPr>
            <w:r>
              <w:rPr>
                <w:rFonts w:eastAsia="Times New Roman"/>
                <w:color w:val="000000"/>
                <w:lang w:eastAsia="es-PE"/>
              </w:rPr>
              <w:t>1.040213</w:t>
            </w:r>
          </w:p>
        </w:tc>
      </w:tr>
      <w:tr w:rsidR="00AE7ADA" w:rsidRPr="007F577C" w:rsidTr="00AE7ADA">
        <w:trPr>
          <w:trHeight w:val="269"/>
        </w:trPr>
        <w:tc>
          <w:tcPr>
            <w:tcW w:w="3114" w:type="dxa"/>
            <w:tcBorders>
              <w:top w:val="nil"/>
              <w:left w:val="single" w:sz="4" w:space="0" w:color="auto"/>
              <w:bottom w:val="single" w:sz="4" w:space="0" w:color="auto"/>
              <w:right w:val="nil"/>
            </w:tcBorders>
            <w:shd w:val="clear" w:color="000000" w:fill="FFFFFF"/>
            <w:noWrap/>
            <w:vAlign w:val="bottom"/>
            <w:hideMark/>
          </w:tcPr>
          <w:p w:rsidR="00956B0D" w:rsidRPr="007F577C" w:rsidRDefault="00956B0D" w:rsidP="009D1ED2">
            <w:pPr>
              <w:rPr>
                <w:rFonts w:eastAsia="Times New Roman"/>
                <w:color w:val="000000"/>
                <w:lang w:eastAsia="es-PE"/>
              </w:rPr>
            </w:pPr>
            <w:proofErr w:type="spellStart"/>
            <w:r w:rsidRPr="007F577C">
              <w:rPr>
                <w:rFonts w:eastAsia="Times New Roman"/>
                <w:color w:val="000000"/>
                <w:lang w:eastAsia="es-PE"/>
              </w:rPr>
              <w:t>Prob</w:t>
            </w:r>
            <w:proofErr w:type="spellEnd"/>
            <w:r w:rsidRPr="007F577C">
              <w:rPr>
                <w:rFonts w:eastAsia="Times New Roman"/>
                <w:color w:val="000000"/>
                <w:lang w:eastAsia="es-PE"/>
              </w:rPr>
              <w:t>(F-</w:t>
            </w:r>
            <w:proofErr w:type="spellStart"/>
            <w:r w:rsidRPr="007F577C">
              <w:rPr>
                <w:rFonts w:eastAsia="Times New Roman"/>
                <w:color w:val="000000"/>
                <w:lang w:eastAsia="es-PE"/>
              </w:rPr>
              <w:t>statistic</w:t>
            </w:r>
            <w:proofErr w:type="spellEnd"/>
            <w:r w:rsidRPr="007F577C">
              <w:rPr>
                <w:rFonts w:eastAsia="Times New Roman"/>
                <w:color w:val="000000"/>
                <w:lang w:eastAsia="es-PE"/>
              </w:rPr>
              <w:t>)</w:t>
            </w:r>
          </w:p>
        </w:tc>
        <w:tc>
          <w:tcPr>
            <w:tcW w:w="1526" w:type="dxa"/>
            <w:gridSpan w:val="2"/>
            <w:tcBorders>
              <w:top w:val="nil"/>
              <w:left w:val="nil"/>
              <w:bottom w:val="single" w:sz="4" w:space="0" w:color="auto"/>
              <w:right w:val="nil"/>
            </w:tcBorders>
            <w:shd w:val="clear" w:color="000000" w:fill="FFFFFF"/>
            <w:noWrap/>
            <w:vAlign w:val="bottom"/>
            <w:hideMark/>
          </w:tcPr>
          <w:p w:rsidR="00956B0D" w:rsidRPr="007F577C" w:rsidRDefault="00956B0D" w:rsidP="009D1ED2">
            <w:pPr>
              <w:jc w:val="center"/>
              <w:rPr>
                <w:rFonts w:eastAsia="Times New Roman"/>
                <w:color w:val="000000"/>
                <w:lang w:eastAsia="es-PE"/>
              </w:rPr>
            </w:pPr>
            <w:r w:rsidRPr="007F577C">
              <w:rPr>
                <w:rFonts w:eastAsia="Times New Roman"/>
                <w:color w:val="000000"/>
                <w:lang w:eastAsia="es-PE"/>
              </w:rPr>
              <w:t>0.000000</w:t>
            </w:r>
          </w:p>
        </w:tc>
        <w:tc>
          <w:tcPr>
            <w:tcW w:w="1232" w:type="dxa"/>
            <w:tcBorders>
              <w:top w:val="nil"/>
              <w:left w:val="nil"/>
              <w:bottom w:val="single" w:sz="4" w:space="0" w:color="auto"/>
              <w:right w:val="nil"/>
            </w:tcBorders>
            <w:shd w:val="clear" w:color="000000" w:fill="FFFFFF"/>
            <w:noWrap/>
            <w:vAlign w:val="center"/>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 </w:t>
            </w:r>
          </w:p>
        </w:tc>
        <w:tc>
          <w:tcPr>
            <w:tcW w:w="1494" w:type="dxa"/>
            <w:tcBorders>
              <w:top w:val="nil"/>
              <w:left w:val="nil"/>
              <w:bottom w:val="single" w:sz="4" w:space="0" w:color="auto"/>
              <w:right w:val="nil"/>
            </w:tcBorders>
            <w:shd w:val="clear" w:color="000000" w:fill="FFFFFF"/>
            <w:noWrap/>
            <w:vAlign w:val="center"/>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 </w:t>
            </w:r>
          </w:p>
        </w:tc>
        <w:tc>
          <w:tcPr>
            <w:tcW w:w="1142" w:type="dxa"/>
            <w:tcBorders>
              <w:top w:val="nil"/>
              <w:left w:val="nil"/>
              <w:bottom w:val="single" w:sz="4" w:space="0" w:color="auto"/>
              <w:right w:val="single" w:sz="4" w:space="0" w:color="auto"/>
            </w:tcBorders>
            <w:shd w:val="clear" w:color="000000" w:fill="FFFFFF"/>
            <w:noWrap/>
            <w:vAlign w:val="center"/>
            <w:hideMark/>
          </w:tcPr>
          <w:p w:rsidR="00956B0D" w:rsidRPr="007F577C" w:rsidRDefault="00956B0D" w:rsidP="009D1ED2">
            <w:pPr>
              <w:jc w:val="right"/>
              <w:rPr>
                <w:rFonts w:eastAsia="Times New Roman"/>
                <w:color w:val="000000"/>
                <w:lang w:eastAsia="es-PE"/>
              </w:rPr>
            </w:pPr>
            <w:r w:rsidRPr="007F577C">
              <w:rPr>
                <w:rFonts w:eastAsia="Times New Roman"/>
                <w:color w:val="000000"/>
                <w:lang w:eastAsia="es-PE"/>
              </w:rPr>
              <w:t> </w:t>
            </w:r>
          </w:p>
        </w:tc>
      </w:tr>
    </w:tbl>
    <w:p w:rsidR="00956B0D" w:rsidRPr="00223372" w:rsidRDefault="00223372" w:rsidP="00956B0D">
      <w:pPr>
        <w:tabs>
          <w:tab w:val="left" w:pos="5184"/>
        </w:tabs>
      </w:pPr>
      <w:r w:rsidRPr="00223372">
        <w:t xml:space="preserve">Fuente: </w:t>
      </w:r>
      <w:r>
        <w:t>Elaboración propia</w:t>
      </w:r>
    </w:p>
    <w:p w:rsidR="00223372" w:rsidRDefault="00223372" w:rsidP="00956B0D">
      <w:pPr>
        <w:tabs>
          <w:tab w:val="left" w:pos="5184"/>
        </w:tabs>
        <w:rPr>
          <w:b/>
        </w:rPr>
      </w:pPr>
    </w:p>
    <w:p w:rsidR="00956B0D" w:rsidRDefault="00223372" w:rsidP="00956B0D">
      <w:pPr>
        <w:tabs>
          <w:tab w:val="left" w:pos="5184"/>
        </w:tabs>
      </w:pPr>
      <w:r w:rsidRPr="00223372">
        <w:t>Finalmente</w:t>
      </w:r>
      <w:r>
        <w:t xml:space="preserve">, la ecuación del modelo quedaría como se muestra a continuación: </w:t>
      </w:r>
    </w:p>
    <w:p w:rsidR="00E56413" w:rsidRPr="00223372" w:rsidRDefault="00E56413" w:rsidP="00956B0D">
      <w:pPr>
        <w:tabs>
          <w:tab w:val="left" w:pos="5184"/>
        </w:tabs>
      </w:pPr>
    </w:p>
    <w:p w:rsidR="00956B0D" w:rsidRPr="0088463B" w:rsidRDefault="00956B0D" w:rsidP="00640622">
      <w:pPr>
        <w:tabs>
          <w:tab w:val="left" w:pos="5184"/>
        </w:tabs>
        <w:ind w:right="-1"/>
        <w:rPr>
          <w:b/>
          <w:szCs w:val="24"/>
        </w:rPr>
      </w:pPr>
      <m:oMathPara>
        <m:oMathParaPr>
          <m:jc m:val="center"/>
        </m:oMathParaPr>
        <m:oMath>
          <m:r>
            <m:rPr>
              <m:sty m:val="bi"/>
            </m:rPr>
            <w:rPr>
              <w:rFonts w:ascii="Cambria Math" w:eastAsiaTheme="minorEastAsia" w:hAnsi="Cambria Math"/>
              <w:szCs w:val="24"/>
            </w:rPr>
            <m:t>Q=1.9328-2.7843(X</m:t>
          </m:r>
          <m:r>
            <m:rPr>
              <m:sty m:val="bi"/>
            </m:rPr>
            <w:rPr>
              <w:rFonts w:ascii="Cambria Math" w:eastAsiaTheme="minorEastAsia" w:hAnsi="Cambria Math"/>
              <w:szCs w:val="24"/>
            </w:rPr>
            <m:t>2)+25.0014(X</m:t>
          </m:r>
          <m:r>
            <m:rPr>
              <m:sty m:val="bi"/>
            </m:rPr>
            <w:rPr>
              <w:rFonts w:ascii="Cambria Math" w:eastAsiaTheme="minorEastAsia" w:hAnsi="Cambria Math"/>
              <w:szCs w:val="24"/>
            </w:rPr>
            <m:t>3)+0.1060(X</m:t>
          </m:r>
          <m:r>
            <m:rPr>
              <m:sty m:val="bi"/>
            </m:rPr>
            <w:rPr>
              <w:rFonts w:ascii="Cambria Math" w:eastAsiaTheme="minorEastAsia" w:hAnsi="Cambria Math"/>
              <w:szCs w:val="24"/>
            </w:rPr>
            <m:t>4)-0.6091(X</m:t>
          </m:r>
          <m:r>
            <m:rPr>
              <m:sty m:val="bi"/>
            </m:rPr>
            <w:rPr>
              <w:rFonts w:ascii="Cambria Math" w:eastAsiaTheme="minorEastAsia" w:hAnsi="Cambria Math"/>
              <w:szCs w:val="24"/>
            </w:rPr>
            <m:t>5)+0.9285(X</m:t>
          </m:r>
          <m:r>
            <m:rPr>
              <m:sty m:val="bi"/>
            </m:rPr>
            <w:rPr>
              <w:rFonts w:ascii="Cambria Math" w:eastAsiaTheme="minorEastAsia" w:hAnsi="Cambria Math"/>
              <w:szCs w:val="24"/>
            </w:rPr>
            <m:t>6)</m:t>
          </m:r>
        </m:oMath>
      </m:oMathPara>
    </w:p>
    <w:p w:rsidR="00956B0D" w:rsidRPr="00956B0D" w:rsidRDefault="00956B0D" w:rsidP="00956B0D"/>
    <w:p w:rsidR="00581A31" w:rsidRDefault="00B74926" w:rsidP="00B74926">
      <w:pPr>
        <w:pStyle w:val="Ttulo1"/>
      </w:pPr>
      <w:r>
        <w:t>Conclusiones</w:t>
      </w:r>
      <w:r w:rsidR="004C66E2">
        <w:t xml:space="preserve"> y Recomendaciones</w:t>
      </w:r>
    </w:p>
    <w:p w:rsidR="00D1383A" w:rsidRDefault="00254F49" w:rsidP="00B74926">
      <w:r>
        <w:t xml:space="preserve">El Gobierno Corporativo, basado en los pilares de la OCDE (2004), busca mejorar la práctica empresarial a través de mecanismos de transparencia y reducción de problemas de agencia (Jensen y </w:t>
      </w:r>
      <w:proofErr w:type="spellStart"/>
      <w:r>
        <w:t>Meckling</w:t>
      </w:r>
      <w:proofErr w:type="spellEnd"/>
      <w:r>
        <w:t xml:space="preserve">, 1976), así como </w:t>
      </w:r>
      <w:r w:rsidR="00686C9A">
        <w:t>al tratar</w:t>
      </w:r>
      <w:r>
        <w:t xml:space="preserve"> de anticiparse a los problemas generados por los riesgos sistémicos producto de crisis financieras como las de 1929</w:t>
      </w:r>
      <w:r w:rsidR="00686C9A">
        <w:t xml:space="preserve"> o 2008.</w:t>
      </w:r>
      <w:r>
        <w:t xml:space="preserve"> </w:t>
      </w:r>
      <w:r w:rsidR="00095A19">
        <w:t>Dadas las pruebas realizadas, se puede concluir que las buenas prácticas de gobierno corporativo contribuyen al incremento del valor económico de las empresas más representativas del sector bancario</w:t>
      </w:r>
      <w:r w:rsidR="00686C9A">
        <w:t xml:space="preserve">, medido a </w:t>
      </w:r>
      <w:proofErr w:type="spellStart"/>
      <w:r w:rsidR="00686C9A">
        <w:t>traves</w:t>
      </w:r>
      <w:proofErr w:type="spellEnd"/>
      <w:r w:rsidR="00686C9A">
        <w:t xml:space="preserve"> de la q de </w:t>
      </w:r>
      <w:proofErr w:type="spellStart"/>
      <w:r w:rsidR="00686C9A">
        <w:t>Tobin</w:t>
      </w:r>
      <w:proofErr w:type="spellEnd"/>
      <w:r w:rsidR="00095A19">
        <w:t xml:space="preserve">; </w:t>
      </w:r>
      <w:r w:rsidR="00686C9A">
        <w:t>se</w:t>
      </w:r>
      <w:r w:rsidR="00072B87">
        <w:t xml:space="preserve"> valida su influencia en los resultados financieros de los bancos del sistema financiero local. </w:t>
      </w:r>
    </w:p>
    <w:p w:rsidR="00D1383A" w:rsidRDefault="00D1383A" w:rsidP="00B74926"/>
    <w:p w:rsidR="00072B87" w:rsidRDefault="00072B87" w:rsidP="00B74926">
      <w:r>
        <w:t>Asimismo, cabe recalcar que el retorno sobre los activos o ROA tiene una influencia positiva sobre el valor económico de las empres</w:t>
      </w:r>
      <w:r w:rsidR="00686C9A">
        <w:t xml:space="preserve">as del sector bancario peruano, mientras que </w:t>
      </w:r>
      <w:r>
        <w:t xml:space="preserve">el </w:t>
      </w:r>
      <w:r w:rsidR="00686C9A">
        <w:t xml:space="preserve">nivel de apalancamiento no contribuye a la generación de valor, coincidiendo con algunos estudios previos mencionados en acápites anteriores. Las variables de ratio de eficiencia, calidad y rentabilidad de cartera tienen influencia sobre el valor de las empresas medido con la q de </w:t>
      </w:r>
      <w:proofErr w:type="spellStart"/>
      <w:r w:rsidR="00686C9A">
        <w:t>Tobin</w:t>
      </w:r>
      <w:proofErr w:type="spellEnd"/>
      <w:r w:rsidR="00686C9A">
        <w:t xml:space="preserve">. </w:t>
      </w:r>
    </w:p>
    <w:p w:rsidR="00D1383A" w:rsidRDefault="00D1383A" w:rsidP="00B74926"/>
    <w:p w:rsidR="00D1383A" w:rsidRDefault="00B21E18" w:rsidP="00B74926">
      <w:r>
        <w:t>E</w:t>
      </w:r>
      <w:r w:rsidR="00072B87">
        <w:t xml:space="preserve">l presente estudio podría extenderse a todo el sector financiero peruano, considerando entidades </w:t>
      </w:r>
      <w:r>
        <w:t>como financieras, cajas, cooperativas</w:t>
      </w:r>
      <w:r w:rsidR="00072B87">
        <w:t xml:space="preserve"> y otras, en vista del nuevo reglamento de gobierno corporativo y gestión de riesgos publicado por la Superintendencia de Banca, Seguros y AFP (SBS), regulador del sector financiero, y cuya implementación </w:t>
      </w:r>
      <w:r>
        <w:t>tuvo</w:t>
      </w:r>
      <w:r w:rsidR="00072B87">
        <w:t xml:space="preserve"> como plazo inicios del 2018. En esa línea</w:t>
      </w:r>
      <w:r w:rsidR="00B74926">
        <w:t xml:space="preserve">, </w:t>
      </w:r>
      <w:r w:rsidR="00513484">
        <w:t xml:space="preserve">también </w:t>
      </w:r>
      <w:r w:rsidR="00B74926">
        <w:t xml:space="preserve">se </w:t>
      </w:r>
      <w:r w:rsidR="00072B87">
        <w:t>podrían</w:t>
      </w:r>
      <w:r w:rsidR="00B74926">
        <w:t xml:space="preserve"> incluir a</w:t>
      </w:r>
      <w:r w:rsidR="00072B87">
        <w:t xml:space="preserve"> las entidades financieras del Mercado Integrado Latinoa</w:t>
      </w:r>
      <w:r w:rsidR="00B74926">
        <w:t>mericano (MILA), para establecer conclusiones entre la banca y el gobierno corporativo a nivel latinoamericano.</w:t>
      </w:r>
      <w:r w:rsidR="00D1383A">
        <w:t xml:space="preserve"> </w:t>
      </w:r>
    </w:p>
    <w:p w:rsidR="00D1383A" w:rsidRDefault="00D1383A" w:rsidP="00B74926"/>
    <w:p w:rsidR="00D1383A" w:rsidRDefault="00D1383A" w:rsidP="00B74926">
      <w:r>
        <w:t>La</w:t>
      </w:r>
      <w:r w:rsidR="00353A8D">
        <w:t xml:space="preserve"> hipótesis probada a través de la regresión debe investigarse con mayor profundidad a futuro, expandiendo el estudio a otras industrias y utilizando otras variables pero manteniéndose el enfoque en mercados emergentes o Latinoamérica.</w:t>
      </w:r>
      <w:r w:rsidR="00513484">
        <w:t xml:space="preserve"> Asimismo, el estudio podría ser aplicado utilizando otras medidas de Gobierno Corporativo, como el Índice de Buen Gobierno Corporativo de la Bolsa de Valores de Lima, o </w:t>
      </w:r>
      <w:r w:rsidR="00444B56">
        <w:t>con</w:t>
      </w:r>
      <w:r w:rsidR="00513484">
        <w:t xml:space="preserve"> la construcción </w:t>
      </w:r>
      <w:r w:rsidR="00444B56">
        <w:t xml:space="preserve">de un Índice propio en función al cumplimiento de los principios del Código del Buen Gobierno Corporativo para las Sociedades Peruanas publicado por la SMV, en cuyo caso, requeriría información de fuentes primarias. </w:t>
      </w:r>
    </w:p>
    <w:p w:rsidR="00D1383A" w:rsidRDefault="00D1383A" w:rsidP="00B74926"/>
    <w:p w:rsidR="00B74926" w:rsidRPr="00B74926" w:rsidRDefault="00444B56" w:rsidP="00B74926">
      <w:r>
        <w:t xml:space="preserve">Finalmente, no se debe desestimar la primera aproximación que el presente trabajo da a la relación positiva entre las buenas prácticas de gobierno corporativo y el valor económico de los bancos peruanos listados en la bolsa limeña. </w:t>
      </w:r>
    </w:p>
    <w:p w:rsidR="00B74926" w:rsidRDefault="00B74926" w:rsidP="00B16D14"/>
    <w:p w:rsidR="00177DE7" w:rsidRDefault="00B74926" w:rsidP="00177DE7">
      <w:pPr>
        <w:pStyle w:val="Ttulo1"/>
      </w:pPr>
      <w:r>
        <w:t>Bibliografía</w:t>
      </w:r>
    </w:p>
    <w:p w:rsidR="004A1891" w:rsidRPr="00D1383A" w:rsidRDefault="008F28BE" w:rsidP="00D1383A">
      <w:pPr>
        <w:spacing w:afterLines="40" w:after="96"/>
        <w:ind w:left="284" w:hanging="284"/>
        <w:rPr>
          <w:rFonts w:eastAsia="Times New Roman"/>
          <w:i/>
          <w:color w:val="222222"/>
          <w:szCs w:val="24"/>
          <w:lang w:eastAsia="es-PE"/>
        </w:rPr>
      </w:pPr>
      <w:r w:rsidRPr="00D1383A">
        <w:rPr>
          <w:rFonts w:eastAsia="Times New Roman"/>
          <w:i/>
          <w:color w:val="222222"/>
          <w:szCs w:val="24"/>
          <w:lang w:eastAsia="es-PE"/>
        </w:rPr>
        <w:t xml:space="preserve">Acero Fraile, I., y Alcalde </w:t>
      </w:r>
      <w:proofErr w:type="spellStart"/>
      <w:r w:rsidRPr="00D1383A">
        <w:rPr>
          <w:rFonts w:eastAsia="Times New Roman"/>
          <w:i/>
          <w:color w:val="222222"/>
          <w:szCs w:val="24"/>
          <w:lang w:eastAsia="es-PE"/>
        </w:rPr>
        <w:t>Fradejas</w:t>
      </w:r>
      <w:proofErr w:type="spellEnd"/>
      <w:r w:rsidRPr="00D1383A">
        <w:rPr>
          <w:rFonts w:eastAsia="Times New Roman"/>
          <w:i/>
          <w:color w:val="222222"/>
          <w:szCs w:val="24"/>
          <w:lang w:eastAsia="es-PE"/>
        </w:rPr>
        <w:t>, N. (2012). Gobierno corporativo y rendición de cuentas</w:t>
      </w:r>
      <w:proofErr w:type="gramStart"/>
      <w:r w:rsidRPr="00D1383A">
        <w:rPr>
          <w:rFonts w:eastAsia="Times New Roman"/>
          <w:i/>
          <w:color w:val="222222"/>
          <w:szCs w:val="24"/>
          <w:lang w:eastAsia="es-PE"/>
        </w:rPr>
        <w:t>:¿</w:t>
      </w:r>
      <w:proofErr w:type="gramEnd"/>
      <w:r w:rsidRPr="00D1383A">
        <w:rPr>
          <w:rFonts w:eastAsia="Times New Roman"/>
          <w:i/>
          <w:color w:val="222222"/>
          <w:szCs w:val="24"/>
          <w:lang w:eastAsia="es-PE"/>
        </w:rPr>
        <w:t>existe algún efecto sobre la performance empresarial? </w:t>
      </w:r>
      <w:r w:rsidRPr="00D1383A">
        <w:rPr>
          <w:rFonts w:eastAsia="Times New Roman"/>
          <w:i/>
          <w:iCs/>
          <w:color w:val="222222"/>
          <w:szCs w:val="24"/>
          <w:lang w:eastAsia="es-PE"/>
        </w:rPr>
        <w:t>Revista de contabilidad</w:t>
      </w:r>
      <w:r w:rsidRPr="00D1383A">
        <w:rPr>
          <w:rFonts w:eastAsia="Times New Roman"/>
          <w:i/>
          <w:color w:val="222222"/>
          <w:szCs w:val="24"/>
          <w:lang w:eastAsia="es-PE"/>
        </w:rPr>
        <w:t>, </w:t>
      </w:r>
      <w:r w:rsidRPr="00D1383A">
        <w:rPr>
          <w:rFonts w:eastAsia="Times New Roman"/>
          <w:i/>
          <w:iCs/>
          <w:color w:val="222222"/>
          <w:szCs w:val="24"/>
          <w:lang w:eastAsia="es-PE"/>
        </w:rPr>
        <w:t>15</w:t>
      </w:r>
      <w:r w:rsidRPr="00D1383A">
        <w:rPr>
          <w:rFonts w:eastAsia="Times New Roman"/>
          <w:i/>
          <w:color w:val="222222"/>
          <w:szCs w:val="24"/>
          <w:lang w:eastAsia="es-PE"/>
        </w:rPr>
        <w:t>(1), 143-178.</w:t>
      </w:r>
    </w:p>
    <w:p w:rsidR="009C2C8B" w:rsidRPr="00D1383A" w:rsidRDefault="009C2C8B" w:rsidP="00D1383A">
      <w:pPr>
        <w:spacing w:afterLines="40" w:after="96"/>
        <w:ind w:left="284" w:hanging="284"/>
        <w:rPr>
          <w:rFonts w:eastAsia="Times New Roman"/>
          <w:i/>
          <w:color w:val="222222"/>
          <w:szCs w:val="24"/>
          <w:lang w:eastAsia="es-PE"/>
        </w:rPr>
      </w:pPr>
      <w:r w:rsidRPr="00D1383A">
        <w:rPr>
          <w:i/>
          <w:szCs w:val="24"/>
        </w:rPr>
        <w:t xml:space="preserve">Acosta Alfaro, D., Barreda </w:t>
      </w:r>
      <w:proofErr w:type="spellStart"/>
      <w:r w:rsidRPr="00D1383A">
        <w:rPr>
          <w:i/>
          <w:szCs w:val="24"/>
        </w:rPr>
        <w:t>Orjeda</w:t>
      </w:r>
      <w:proofErr w:type="spellEnd"/>
      <w:r w:rsidRPr="00D1383A">
        <w:rPr>
          <w:i/>
          <w:szCs w:val="24"/>
        </w:rPr>
        <w:t xml:space="preserve">, P., Díaz Fernández, I., y </w:t>
      </w:r>
      <w:proofErr w:type="spellStart"/>
      <w:r w:rsidRPr="00D1383A">
        <w:rPr>
          <w:i/>
          <w:szCs w:val="24"/>
        </w:rPr>
        <w:t>Visso</w:t>
      </w:r>
      <w:proofErr w:type="spellEnd"/>
      <w:r w:rsidRPr="00D1383A">
        <w:rPr>
          <w:i/>
          <w:szCs w:val="24"/>
        </w:rPr>
        <w:t xml:space="preserve"> Alarcón, D. (2016). Prácticas de buen gobierno corporativo y su impacto en el valor de las empresas.</w:t>
      </w:r>
    </w:p>
    <w:p w:rsidR="004A1891" w:rsidRPr="00D1383A" w:rsidRDefault="004A1891" w:rsidP="00D1383A">
      <w:pPr>
        <w:spacing w:afterLines="40" w:after="96"/>
        <w:ind w:left="284" w:hanging="284"/>
        <w:rPr>
          <w:i/>
          <w:szCs w:val="24"/>
        </w:rPr>
      </w:pPr>
      <w:r w:rsidRPr="00D1383A">
        <w:rPr>
          <w:i/>
          <w:szCs w:val="24"/>
        </w:rPr>
        <w:t xml:space="preserve">Adam </w:t>
      </w:r>
      <w:proofErr w:type="spellStart"/>
      <w:r w:rsidRPr="00D1383A">
        <w:rPr>
          <w:i/>
          <w:szCs w:val="24"/>
        </w:rPr>
        <w:t>Siade</w:t>
      </w:r>
      <w:proofErr w:type="spellEnd"/>
      <w:r w:rsidRPr="00D1383A">
        <w:rPr>
          <w:i/>
          <w:szCs w:val="24"/>
        </w:rPr>
        <w:t xml:space="preserve">, J. A. (setiembre de 2005). Los métodos de valuación de empresas </w:t>
      </w:r>
      <w:proofErr w:type="spellStart"/>
      <w:r w:rsidRPr="00D1383A">
        <w:rPr>
          <w:i/>
          <w:szCs w:val="24"/>
        </w:rPr>
        <w:t>ysu</w:t>
      </w:r>
      <w:proofErr w:type="spellEnd"/>
      <w:r w:rsidRPr="00D1383A">
        <w:rPr>
          <w:i/>
          <w:szCs w:val="24"/>
        </w:rPr>
        <w:t xml:space="preserve"> relación con la capacidad de </w:t>
      </w:r>
      <w:proofErr w:type="spellStart"/>
      <w:r w:rsidRPr="00D1383A">
        <w:rPr>
          <w:i/>
          <w:szCs w:val="24"/>
        </w:rPr>
        <w:t>lasorganizaciones</w:t>
      </w:r>
      <w:proofErr w:type="spellEnd"/>
      <w:r w:rsidRPr="00D1383A">
        <w:rPr>
          <w:i/>
          <w:szCs w:val="24"/>
        </w:rPr>
        <w:t xml:space="preserve"> para generar valor. Contaduría y Administración [en línea] Recuperado de http://www.redalyc.org/articulo.oa?id=39521702</w:t>
      </w:r>
    </w:p>
    <w:p w:rsidR="009C2C8B" w:rsidRPr="00D1383A" w:rsidRDefault="009C2C8B" w:rsidP="00D1383A">
      <w:pPr>
        <w:spacing w:afterLines="40" w:after="96"/>
        <w:ind w:left="284" w:hanging="284"/>
        <w:rPr>
          <w:i/>
          <w:szCs w:val="24"/>
        </w:rPr>
      </w:pPr>
      <w:proofErr w:type="spellStart"/>
      <w:r w:rsidRPr="00D1383A">
        <w:rPr>
          <w:i/>
          <w:szCs w:val="24"/>
        </w:rPr>
        <w:t>Ajanthan</w:t>
      </w:r>
      <w:proofErr w:type="spellEnd"/>
      <w:r w:rsidRPr="00D1383A">
        <w:rPr>
          <w:i/>
          <w:szCs w:val="24"/>
        </w:rPr>
        <w:t xml:space="preserve">, A., </w:t>
      </w:r>
      <w:proofErr w:type="spellStart"/>
      <w:r w:rsidRPr="00D1383A">
        <w:rPr>
          <w:i/>
          <w:szCs w:val="24"/>
        </w:rPr>
        <w:t>Balaputhiran</w:t>
      </w:r>
      <w:proofErr w:type="spellEnd"/>
      <w:r w:rsidRPr="00D1383A">
        <w:rPr>
          <w:i/>
          <w:szCs w:val="24"/>
        </w:rPr>
        <w:t xml:space="preserve">, S. y </w:t>
      </w:r>
      <w:proofErr w:type="spellStart"/>
      <w:r w:rsidRPr="00D1383A">
        <w:rPr>
          <w:i/>
          <w:szCs w:val="24"/>
        </w:rPr>
        <w:t>Nimalathashan</w:t>
      </w:r>
      <w:proofErr w:type="spellEnd"/>
      <w:r w:rsidRPr="00D1383A">
        <w:rPr>
          <w:i/>
          <w:szCs w:val="24"/>
        </w:rPr>
        <w:t xml:space="preserve">, B. (2013).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and </w:t>
      </w:r>
      <w:proofErr w:type="spellStart"/>
      <w:r w:rsidRPr="00D1383A">
        <w:rPr>
          <w:i/>
          <w:szCs w:val="24"/>
        </w:rPr>
        <w:t>Banking</w:t>
      </w:r>
      <w:proofErr w:type="spellEnd"/>
      <w:r w:rsidRPr="00D1383A">
        <w:rPr>
          <w:i/>
          <w:szCs w:val="24"/>
        </w:rPr>
        <w:t xml:space="preserve"> Performance: a </w:t>
      </w:r>
      <w:proofErr w:type="spellStart"/>
      <w:r w:rsidRPr="00D1383A">
        <w:rPr>
          <w:i/>
          <w:szCs w:val="24"/>
        </w:rPr>
        <w:t>Comparative</w:t>
      </w:r>
      <w:proofErr w:type="spellEnd"/>
      <w:r w:rsidRPr="00D1383A">
        <w:rPr>
          <w:i/>
          <w:szCs w:val="24"/>
        </w:rPr>
        <w:t xml:space="preserve"> </w:t>
      </w:r>
      <w:proofErr w:type="spellStart"/>
      <w:r w:rsidRPr="00D1383A">
        <w:rPr>
          <w:i/>
          <w:szCs w:val="24"/>
        </w:rPr>
        <w:t>Study</w:t>
      </w:r>
      <w:proofErr w:type="spellEnd"/>
      <w:r w:rsidRPr="00D1383A">
        <w:rPr>
          <w:i/>
          <w:szCs w:val="24"/>
        </w:rPr>
        <w:t xml:space="preserve"> </w:t>
      </w:r>
      <w:proofErr w:type="spellStart"/>
      <w:r w:rsidRPr="00D1383A">
        <w:rPr>
          <w:i/>
          <w:szCs w:val="24"/>
        </w:rPr>
        <w:t>between</w:t>
      </w:r>
      <w:proofErr w:type="spellEnd"/>
      <w:r w:rsidRPr="00D1383A">
        <w:rPr>
          <w:i/>
          <w:szCs w:val="24"/>
        </w:rPr>
        <w:t xml:space="preserve"> </w:t>
      </w:r>
      <w:proofErr w:type="spellStart"/>
      <w:r w:rsidRPr="00D1383A">
        <w:rPr>
          <w:i/>
          <w:szCs w:val="24"/>
        </w:rPr>
        <w:t>Private</w:t>
      </w:r>
      <w:proofErr w:type="spellEnd"/>
      <w:r w:rsidRPr="00D1383A">
        <w:rPr>
          <w:i/>
          <w:szCs w:val="24"/>
        </w:rPr>
        <w:t xml:space="preserve"> and </w:t>
      </w:r>
      <w:proofErr w:type="spellStart"/>
      <w:r w:rsidRPr="00D1383A">
        <w:rPr>
          <w:i/>
          <w:szCs w:val="24"/>
        </w:rPr>
        <w:t>State</w:t>
      </w:r>
      <w:proofErr w:type="spellEnd"/>
      <w:r w:rsidRPr="00D1383A">
        <w:rPr>
          <w:i/>
          <w:szCs w:val="24"/>
        </w:rPr>
        <w:t xml:space="preserve"> </w:t>
      </w:r>
      <w:proofErr w:type="spellStart"/>
      <w:r w:rsidRPr="00D1383A">
        <w:rPr>
          <w:i/>
          <w:szCs w:val="24"/>
        </w:rPr>
        <w:t>Banking</w:t>
      </w:r>
      <w:proofErr w:type="spellEnd"/>
      <w:r w:rsidRPr="00D1383A">
        <w:rPr>
          <w:i/>
          <w:szCs w:val="24"/>
        </w:rPr>
        <w:t xml:space="preserve"> Sector in Sri Lanka. </w:t>
      </w:r>
      <w:proofErr w:type="spellStart"/>
      <w:r w:rsidRPr="00D1383A">
        <w:rPr>
          <w:i/>
          <w:szCs w:val="24"/>
        </w:rPr>
        <w:t>European</w:t>
      </w:r>
      <w:proofErr w:type="spellEnd"/>
      <w:r w:rsidRPr="00D1383A">
        <w:rPr>
          <w:i/>
          <w:szCs w:val="24"/>
        </w:rPr>
        <w:t xml:space="preserve"> </w:t>
      </w:r>
      <w:proofErr w:type="spellStart"/>
      <w:r w:rsidRPr="00D1383A">
        <w:rPr>
          <w:i/>
          <w:szCs w:val="24"/>
        </w:rPr>
        <w:t>Journal</w:t>
      </w:r>
      <w:proofErr w:type="spellEnd"/>
      <w:r w:rsidRPr="00D1383A">
        <w:rPr>
          <w:i/>
          <w:szCs w:val="24"/>
        </w:rPr>
        <w:t xml:space="preserve"> of Business and Management, 5(20), 92-100. </w:t>
      </w:r>
    </w:p>
    <w:p w:rsidR="005A6152" w:rsidRPr="00D1383A" w:rsidRDefault="005A6152" w:rsidP="00D1383A">
      <w:pPr>
        <w:spacing w:afterLines="40" w:after="96"/>
        <w:ind w:left="284" w:hanging="284"/>
        <w:rPr>
          <w:i/>
          <w:szCs w:val="24"/>
        </w:rPr>
      </w:pPr>
      <w:r w:rsidRPr="00D1383A">
        <w:rPr>
          <w:i/>
          <w:szCs w:val="24"/>
        </w:rPr>
        <w:t>Alanís Aguilar, I. (</w:t>
      </w:r>
      <w:r w:rsidR="00425348" w:rsidRPr="00D1383A">
        <w:rPr>
          <w:i/>
          <w:szCs w:val="24"/>
        </w:rPr>
        <w:t xml:space="preserve">2015). Análisis crítico de los métodos de valoración de empresas y su aplicación práctica. </w:t>
      </w:r>
      <w:proofErr w:type="spellStart"/>
      <w:r w:rsidR="00425348" w:rsidRPr="00D1383A">
        <w:rPr>
          <w:i/>
          <w:szCs w:val="24"/>
        </w:rPr>
        <w:t>Vinculatégica</w:t>
      </w:r>
      <w:proofErr w:type="spellEnd"/>
      <w:r w:rsidR="00425348" w:rsidRPr="00D1383A">
        <w:rPr>
          <w:i/>
          <w:szCs w:val="24"/>
        </w:rPr>
        <w:t xml:space="preserve"> </w:t>
      </w:r>
      <w:proofErr w:type="spellStart"/>
      <w:r w:rsidR="00425348" w:rsidRPr="00D1383A">
        <w:rPr>
          <w:i/>
          <w:szCs w:val="24"/>
        </w:rPr>
        <w:t>Efan</w:t>
      </w:r>
      <w:proofErr w:type="spellEnd"/>
      <w:r w:rsidR="00425348" w:rsidRPr="00D1383A">
        <w:rPr>
          <w:i/>
          <w:szCs w:val="24"/>
        </w:rPr>
        <w:t xml:space="preserve"> [en l</w:t>
      </w:r>
      <w:r w:rsidR="006B3C6A" w:rsidRPr="00D1383A">
        <w:rPr>
          <w:i/>
          <w:szCs w:val="24"/>
        </w:rPr>
        <w:t xml:space="preserve">ínea] </w:t>
      </w:r>
      <w:r w:rsidR="00425348" w:rsidRPr="00D1383A">
        <w:rPr>
          <w:i/>
          <w:szCs w:val="24"/>
        </w:rPr>
        <w:t>Recuperado de http://www.web.facpya.uanl.mx/vinculategica/Revistas/1038-1056%20ANALISIS%20CRITICO%20DE%20LOS%20METODOS%20DE%20VALORACION%20DE%20EMPRESAS%20Y%20SU%20APLICACION%20PRACTICA.pdf</w:t>
      </w:r>
    </w:p>
    <w:p w:rsidR="009C2C8B" w:rsidRPr="00D1383A" w:rsidRDefault="009C2C8B" w:rsidP="00D1383A">
      <w:pPr>
        <w:spacing w:afterLines="40" w:after="96"/>
        <w:ind w:left="284" w:hanging="284"/>
        <w:rPr>
          <w:i/>
          <w:szCs w:val="24"/>
        </w:rPr>
      </w:pPr>
      <w:proofErr w:type="spellStart"/>
      <w:r w:rsidRPr="00D1383A">
        <w:rPr>
          <w:i/>
          <w:szCs w:val="24"/>
        </w:rPr>
        <w:t>Babatunde</w:t>
      </w:r>
      <w:proofErr w:type="spellEnd"/>
      <w:r w:rsidRPr="00D1383A">
        <w:rPr>
          <w:i/>
          <w:szCs w:val="24"/>
        </w:rPr>
        <w:t xml:space="preserve">, A., </w:t>
      </w:r>
      <w:proofErr w:type="spellStart"/>
      <w:r w:rsidRPr="00D1383A">
        <w:rPr>
          <w:i/>
          <w:szCs w:val="24"/>
        </w:rPr>
        <w:t>Awoyemi</w:t>
      </w:r>
      <w:proofErr w:type="spellEnd"/>
      <w:r w:rsidRPr="00D1383A">
        <w:rPr>
          <w:i/>
          <w:szCs w:val="24"/>
        </w:rPr>
        <w:t xml:space="preserve"> </w:t>
      </w:r>
      <w:proofErr w:type="spellStart"/>
      <w:r w:rsidRPr="00D1383A">
        <w:rPr>
          <w:i/>
          <w:szCs w:val="24"/>
        </w:rPr>
        <w:t>Olanike</w:t>
      </w:r>
      <w:proofErr w:type="spellEnd"/>
      <w:r w:rsidRPr="00D1383A">
        <w:rPr>
          <w:i/>
          <w:szCs w:val="24"/>
        </w:rPr>
        <w:t xml:space="preserve">, B., </w:t>
      </w:r>
      <w:proofErr w:type="spellStart"/>
      <w:r w:rsidRPr="00D1383A">
        <w:rPr>
          <w:i/>
          <w:szCs w:val="24"/>
        </w:rPr>
        <w:t>Atsuwa</w:t>
      </w:r>
      <w:proofErr w:type="spellEnd"/>
      <w:r w:rsidRPr="00D1383A">
        <w:rPr>
          <w:i/>
          <w:szCs w:val="24"/>
        </w:rPr>
        <w:t xml:space="preserve">, R. Y </w:t>
      </w:r>
      <w:proofErr w:type="spellStart"/>
      <w:r w:rsidRPr="00D1383A">
        <w:rPr>
          <w:i/>
          <w:szCs w:val="24"/>
        </w:rPr>
        <w:t>Akomolafe</w:t>
      </w:r>
      <w:proofErr w:type="spellEnd"/>
      <w:r w:rsidRPr="00D1383A">
        <w:rPr>
          <w:i/>
          <w:szCs w:val="24"/>
        </w:rPr>
        <w:t xml:space="preserve">, J. K. (abril de 2017).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Banks Performance and Bank Crisis in Nigeria. China-US  Business </w:t>
      </w:r>
      <w:proofErr w:type="spellStart"/>
      <w:r w:rsidRPr="00D1383A">
        <w:rPr>
          <w:i/>
          <w:szCs w:val="24"/>
        </w:rPr>
        <w:t>Rview</w:t>
      </w:r>
      <w:proofErr w:type="spellEnd"/>
      <w:r w:rsidRPr="00D1383A">
        <w:rPr>
          <w:i/>
          <w:szCs w:val="24"/>
        </w:rPr>
        <w:t>, 16(4</w:t>
      </w:r>
      <w:proofErr w:type="gramStart"/>
      <w:r w:rsidRPr="00D1383A">
        <w:rPr>
          <w:i/>
          <w:szCs w:val="24"/>
        </w:rPr>
        <w:t>),</w:t>
      </w:r>
      <w:proofErr w:type="gramEnd"/>
      <w:r w:rsidRPr="00D1383A">
        <w:rPr>
          <w:i/>
          <w:szCs w:val="24"/>
        </w:rPr>
        <w:t xml:space="preserve">180-188. </w:t>
      </w:r>
    </w:p>
    <w:p w:rsidR="00E733EF" w:rsidRPr="00D1383A" w:rsidRDefault="00771A41" w:rsidP="00D1383A">
      <w:pPr>
        <w:spacing w:afterLines="40" w:after="96"/>
        <w:ind w:left="284" w:hanging="284"/>
        <w:rPr>
          <w:i/>
          <w:szCs w:val="24"/>
        </w:rPr>
      </w:pPr>
      <w:r w:rsidRPr="00D1383A">
        <w:rPr>
          <w:i/>
          <w:szCs w:val="24"/>
        </w:rPr>
        <w:t xml:space="preserve">Black, B., De </w:t>
      </w:r>
      <w:r w:rsidR="00E733EF" w:rsidRPr="00D1383A">
        <w:rPr>
          <w:i/>
          <w:szCs w:val="24"/>
        </w:rPr>
        <w:t>Carvalho, A.</w:t>
      </w:r>
      <w:r w:rsidRPr="00D1383A">
        <w:rPr>
          <w:i/>
          <w:szCs w:val="24"/>
        </w:rPr>
        <w:t xml:space="preserve"> G.</w:t>
      </w:r>
      <w:r w:rsidR="00E733EF" w:rsidRPr="00D1383A">
        <w:rPr>
          <w:i/>
          <w:szCs w:val="24"/>
        </w:rPr>
        <w:t xml:space="preserve"> y </w:t>
      </w:r>
      <w:proofErr w:type="spellStart"/>
      <w:r w:rsidR="00E733EF" w:rsidRPr="00D1383A">
        <w:rPr>
          <w:i/>
          <w:szCs w:val="24"/>
        </w:rPr>
        <w:t>Sampaio</w:t>
      </w:r>
      <w:proofErr w:type="spellEnd"/>
      <w:r w:rsidR="00E733EF" w:rsidRPr="00D1383A">
        <w:rPr>
          <w:i/>
          <w:szCs w:val="24"/>
        </w:rPr>
        <w:t>, J.</w:t>
      </w:r>
      <w:r w:rsidRPr="00D1383A">
        <w:rPr>
          <w:i/>
          <w:szCs w:val="24"/>
        </w:rPr>
        <w:t xml:space="preserve"> O.</w:t>
      </w:r>
      <w:r w:rsidR="00E733EF" w:rsidRPr="00D1383A">
        <w:rPr>
          <w:i/>
          <w:szCs w:val="24"/>
        </w:rPr>
        <w:t xml:space="preserve"> (</w:t>
      </w:r>
      <w:r w:rsidR="00A83E4D" w:rsidRPr="00D1383A">
        <w:rPr>
          <w:i/>
          <w:szCs w:val="24"/>
        </w:rPr>
        <w:t xml:space="preserve">2014). </w:t>
      </w:r>
      <w:proofErr w:type="spellStart"/>
      <w:r w:rsidR="00A83E4D" w:rsidRPr="00D1383A">
        <w:rPr>
          <w:i/>
          <w:szCs w:val="24"/>
        </w:rPr>
        <w:t>The</w:t>
      </w:r>
      <w:proofErr w:type="spellEnd"/>
      <w:r w:rsidR="00A83E4D" w:rsidRPr="00D1383A">
        <w:rPr>
          <w:i/>
          <w:szCs w:val="24"/>
        </w:rPr>
        <w:t xml:space="preserve"> </w:t>
      </w:r>
      <w:proofErr w:type="spellStart"/>
      <w:r w:rsidR="00A83E4D" w:rsidRPr="00D1383A">
        <w:rPr>
          <w:i/>
          <w:szCs w:val="24"/>
        </w:rPr>
        <w:t>Evolution</w:t>
      </w:r>
      <w:proofErr w:type="spellEnd"/>
      <w:r w:rsidR="00A83E4D" w:rsidRPr="00D1383A">
        <w:rPr>
          <w:i/>
          <w:szCs w:val="24"/>
        </w:rPr>
        <w:t xml:space="preserve"> of </w:t>
      </w:r>
      <w:proofErr w:type="spellStart"/>
      <w:r w:rsidR="00A83E4D" w:rsidRPr="00D1383A">
        <w:rPr>
          <w:i/>
          <w:szCs w:val="24"/>
        </w:rPr>
        <w:t>Corporate</w:t>
      </w:r>
      <w:proofErr w:type="spellEnd"/>
      <w:r w:rsidR="00A83E4D" w:rsidRPr="00D1383A">
        <w:rPr>
          <w:i/>
          <w:szCs w:val="24"/>
        </w:rPr>
        <w:t xml:space="preserve"> </w:t>
      </w:r>
      <w:proofErr w:type="spellStart"/>
      <w:r w:rsidR="00A83E4D" w:rsidRPr="00D1383A">
        <w:rPr>
          <w:i/>
          <w:szCs w:val="24"/>
        </w:rPr>
        <w:t>Governance</w:t>
      </w:r>
      <w:proofErr w:type="spellEnd"/>
      <w:r w:rsidR="00A83E4D" w:rsidRPr="00D1383A">
        <w:rPr>
          <w:i/>
          <w:szCs w:val="24"/>
        </w:rPr>
        <w:t xml:space="preserve"> in </w:t>
      </w:r>
      <w:proofErr w:type="spellStart"/>
      <w:r w:rsidR="00A83E4D" w:rsidRPr="00D1383A">
        <w:rPr>
          <w:i/>
          <w:szCs w:val="24"/>
        </w:rPr>
        <w:t>Brazil</w:t>
      </w:r>
      <w:proofErr w:type="spellEnd"/>
      <w:r w:rsidR="00A83E4D" w:rsidRPr="00D1383A">
        <w:rPr>
          <w:i/>
          <w:szCs w:val="24"/>
        </w:rPr>
        <w:t xml:space="preserve">. </w:t>
      </w:r>
      <w:proofErr w:type="spellStart"/>
      <w:r w:rsidR="00A83E4D" w:rsidRPr="00D1383A">
        <w:rPr>
          <w:i/>
          <w:szCs w:val="24"/>
        </w:rPr>
        <w:t>Northwestern</w:t>
      </w:r>
      <w:proofErr w:type="spellEnd"/>
      <w:r w:rsidR="00A83E4D" w:rsidRPr="00D1383A">
        <w:rPr>
          <w:i/>
          <w:szCs w:val="24"/>
        </w:rPr>
        <w:t xml:space="preserve"> </w:t>
      </w:r>
      <w:proofErr w:type="spellStart"/>
      <w:r w:rsidR="00A83E4D" w:rsidRPr="00D1383A">
        <w:rPr>
          <w:i/>
          <w:szCs w:val="24"/>
        </w:rPr>
        <w:t>Law&amp;Econ</w:t>
      </w:r>
      <w:proofErr w:type="spellEnd"/>
      <w:r w:rsidR="00A83E4D" w:rsidRPr="00D1383A">
        <w:rPr>
          <w:i/>
          <w:szCs w:val="24"/>
        </w:rPr>
        <w:t xml:space="preserve"> </w:t>
      </w:r>
      <w:proofErr w:type="spellStart"/>
      <w:r w:rsidR="00A83E4D" w:rsidRPr="00D1383A">
        <w:rPr>
          <w:i/>
          <w:szCs w:val="24"/>
        </w:rPr>
        <w:t>Research</w:t>
      </w:r>
      <w:proofErr w:type="spellEnd"/>
      <w:r w:rsidR="00A83E4D" w:rsidRPr="00D1383A">
        <w:rPr>
          <w:i/>
          <w:szCs w:val="24"/>
        </w:rPr>
        <w:t xml:space="preserve"> </w:t>
      </w:r>
      <w:proofErr w:type="spellStart"/>
      <w:r w:rsidR="00A83E4D" w:rsidRPr="00D1383A">
        <w:rPr>
          <w:i/>
          <w:szCs w:val="24"/>
        </w:rPr>
        <w:t>Paper</w:t>
      </w:r>
      <w:proofErr w:type="spellEnd"/>
      <w:r w:rsidR="00A83E4D" w:rsidRPr="00D1383A">
        <w:rPr>
          <w:i/>
          <w:szCs w:val="24"/>
        </w:rPr>
        <w:t xml:space="preserve"> No. 12-22. Recuperado de </w:t>
      </w:r>
    </w:p>
    <w:p w:rsidR="0061293F" w:rsidRPr="00D1383A" w:rsidRDefault="0061293F" w:rsidP="00D1383A">
      <w:pPr>
        <w:spacing w:afterLines="40" w:after="96"/>
        <w:ind w:left="284" w:hanging="284"/>
        <w:rPr>
          <w:i/>
          <w:szCs w:val="24"/>
        </w:rPr>
      </w:pPr>
      <w:r w:rsidRPr="00D1383A">
        <w:rPr>
          <w:i/>
          <w:szCs w:val="24"/>
        </w:rPr>
        <w:t xml:space="preserve">Black, </w:t>
      </w:r>
      <w:proofErr w:type="spellStart"/>
      <w:r w:rsidRPr="00D1383A">
        <w:rPr>
          <w:i/>
          <w:szCs w:val="24"/>
        </w:rPr>
        <w:t>Jang</w:t>
      </w:r>
      <w:proofErr w:type="spellEnd"/>
      <w:r w:rsidRPr="00D1383A">
        <w:rPr>
          <w:i/>
          <w:szCs w:val="24"/>
        </w:rPr>
        <w:t xml:space="preserve"> y Kim (2003). </w:t>
      </w:r>
      <w:proofErr w:type="spellStart"/>
      <w:r w:rsidRPr="00D1383A">
        <w:rPr>
          <w:i/>
          <w:szCs w:val="24"/>
        </w:rPr>
        <w:t>Does</w:t>
      </w:r>
      <w:proofErr w:type="spellEnd"/>
      <w:r w:rsidRPr="00D1383A">
        <w:rPr>
          <w:i/>
          <w:szCs w:val="24"/>
        </w:rPr>
        <w:t xml:space="preserve">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w:t>
      </w:r>
      <w:proofErr w:type="spellStart"/>
      <w:r w:rsidRPr="00D1383A">
        <w:rPr>
          <w:i/>
          <w:szCs w:val="24"/>
        </w:rPr>
        <w:t>Affect</w:t>
      </w:r>
      <w:proofErr w:type="spellEnd"/>
      <w:r w:rsidRPr="00D1383A">
        <w:rPr>
          <w:i/>
          <w:szCs w:val="24"/>
        </w:rPr>
        <w:t xml:space="preserve"> </w:t>
      </w:r>
      <w:proofErr w:type="spellStart"/>
      <w:r w:rsidRPr="00D1383A">
        <w:rPr>
          <w:i/>
          <w:szCs w:val="24"/>
        </w:rPr>
        <w:t>Firms</w:t>
      </w:r>
      <w:proofErr w:type="spellEnd"/>
      <w:r w:rsidRPr="00D1383A">
        <w:rPr>
          <w:i/>
          <w:szCs w:val="24"/>
        </w:rPr>
        <w:t xml:space="preserve">’ </w:t>
      </w:r>
      <w:proofErr w:type="spellStart"/>
      <w:r w:rsidRPr="00D1383A">
        <w:rPr>
          <w:i/>
          <w:szCs w:val="24"/>
        </w:rPr>
        <w:t>Market</w:t>
      </w:r>
      <w:proofErr w:type="spellEnd"/>
      <w:r w:rsidRPr="00D1383A">
        <w:rPr>
          <w:i/>
          <w:szCs w:val="24"/>
        </w:rPr>
        <w:t xml:space="preserve"> </w:t>
      </w:r>
      <w:proofErr w:type="spellStart"/>
      <w:r w:rsidRPr="00D1383A">
        <w:rPr>
          <w:i/>
          <w:szCs w:val="24"/>
        </w:rPr>
        <w:t>Values</w:t>
      </w:r>
      <w:proofErr w:type="spellEnd"/>
      <w:r w:rsidRPr="00D1383A">
        <w:rPr>
          <w:i/>
          <w:szCs w:val="24"/>
        </w:rPr>
        <w:t xml:space="preserve">? Social </w:t>
      </w:r>
      <w:proofErr w:type="spellStart"/>
      <w:r w:rsidRPr="00D1383A">
        <w:rPr>
          <w:i/>
          <w:szCs w:val="24"/>
        </w:rPr>
        <w:t>Science</w:t>
      </w:r>
      <w:proofErr w:type="spellEnd"/>
      <w:r w:rsidRPr="00D1383A">
        <w:rPr>
          <w:i/>
          <w:szCs w:val="24"/>
        </w:rPr>
        <w:t xml:space="preserve"> </w:t>
      </w:r>
      <w:proofErr w:type="spellStart"/>
      <w:r w:rsidRPr="00D1383A">
        <w:rPr>
          <w:i/>
          <w:szCs w:val="24"/>
        </w:rPr>
        <w:t>Research</w:t>
      </w:r>
      <w:proofErr w:type="spellEnd"/>
      <w:r w:rsidRPr="00D1383A">
        <w:rPr>
          <w:i/>
          <w:szCs w:val="24"/>
        </w:rPr>
        <w:t xml:space="preserve"> Network </w:t>
      </w:r>
      <w:proofErr w:type="spellStart"/>
      <w:r w:rsidRPr="00D1383A">
        <w:rPr>
          <w:i/>
          <w:szCs w:val="24"/>
        </w:rPr>
        <w:t>electronic</w:t>
      </w:r>
      <w:proofErr w:type="spellEnd"/>
      <w:r w:rsidRPr="00D1383A">
        <w:rPr>
          <w:i/>
          <w:szCs w:val="24"/>
        </w:rPr>
        <w:t xml:space="preserve"> </w:t>
      </w:r>
      <w:proofErr w:type="spellStart"/>
      <w:r w:rsidRPr="00D1383A">
        <w:rPr>
          <w:i/>
          <w:szCs w:val="24"/>
        </w:rPr>
        <w:t>library</w:t>
      </w:r>
      <w:proofErr w:type="spellEnd"/>
      <w:r w:rsidRPr="00D1383A">
        <w:rPr>
          <w:i/>
          <w:szCs w:val="24"/>
        </w:rPr>
        <w:t xml:space="preserve">  http://papers.ssrn.com/abstract =311275.</w:t>
      </w:r>
    </w:p>
    <w:p w:rsidR="00DA20EC" w:rsidRPr="00D1383A" w:rsidRDefault="00DA20EC" w:rsidP="00D1383A">
      <w:pPr>
        <w:spacing w:afterLines="40" w:after="96"/>
        <w:ind w:left="284" w:hanging="284"/>
        <w:rPr>
          <w:i/>
          <w:szCs w:val="24"/>
        </w:rPr>
      </w:pPr>
      <w:r w:rsidRPr="00D1383A">
        <w:rPr>
          <w:i/>
          <w:szCs w:val="24"/>
        </w:rPr>
        <w:lastRenderedPageBreak/>
        <w:t>Bohórquez, L. (2011). Gobierno Corporativo y control interno: Algunas limitaciones y desafíos. </w:t>
      </w:r>
      <w:r w:rsidRPr="00D1383A">
        <w:rPr>
          <w:i/>
          <w:iCs/>
          <w:szCs w:val="24"/>
        </w:rPr>
        <w:t>Economía, Gestión y Desarrollo. 12</w:t>
      </w:r>
      <w:r w:rsidRPr="00D1383A">
        <w:rPr>
          <w:i/>
          <w:szCs w:val="24"/>
        </w:rPr>
        <w:t>, 39-57.</w:t>
      </w:r>
    </w:p>
    <w:p w:rsidR="00DA20EC" w:rsidRPr="00D1383A" w:rsidRDefault="00DA20EC" w:rsidP="00D1383A">
      <w:pPr>
        <w:spacing w:afterLines="40" w:after="96"/>
        <w:ind w:left="284" w:hanging="284"/>
        <w:rPr>
          <w:rFonts w:eastAsia="Times New Roman"/>
          <w:i/>
          <w:color w:val="222222"/>
          <w:szCs w:val="24"/>
          <w:lang w:eastAsia="es-PE"/>
        </w:rPr>
      </w:pPr>
      <w:proofErr w:type="spellStart"/>
      <w:r w:rsidRPr="00D1383A">
        <w:rPr>
          <w:rFonts w:eastAsia="Times New Roman"/>
          <w:i/>
          <w:color w:val="222222"/>
          <w:szCs w:val="24"/>
          <w:lang w:eastAsia="es-PE"/>
        </w:rPr>
        <w:t>Brealey</w:t>
      </w:r>
      <w:proofErr w:type="spellEnd"/>
      <w:r w:rsidRPr="00D1383A">
        <w:rPr>
          <w:rFonts w:eastAsia="Times New Roman"/>
          <w:i/>
          <w:color w:val="222222"/>
          <w:szCs w:val="24"/>
          <w:lang w:eastAsia="es-PE"/>
        </w:rPr>
        <w:t>, R. y Myers, S. (2007). Principio de finanzas corporativas. Novena Edición. España: Mc Graw Hill.</w:t>
      </w:r>
    </w:p>
    <w:p w:rsidR="0033438F" w:rsidRPr="00D1383A" w:rsidRDefault="009C2C8B" w:rsidP="00D1383A">
      <w:pPr>
        <w:spacing w:afterLines="40" w:after="96"/>
        <w:ind w:left="284" w:hanging="284"/>
        <w:rPr>
          <w:i/>
          <w:szCs w:val="24"/>
        </w:rPr>
      </w:pPr>
      <w:r w:rsidRPr="00D1383A">
        <w:rPr>
          <w:i/>
          <w:szCs w:val="24"/>
        </w:rPr>
        <w:t xml:space="preserve">Buitrago Florián, H.K. y Betancourt Prieto, M. D. M. (2013). El gobierno corporativo como pilar fundamental para la sostenibilidad de la economía. Gestión &amp; </w:t>
      </w:r>
      <w:proofErr w:type="spellStart"/>
      <w:r w:rsidRPr="00D1383A">
        <w:rPr>
          <w:i/>
          <w:szCs w:val="24"/>
        </w:rPr>
        <w:t>Dearrollo</w:t>
      </w:r>
      <w:proofErr w:type="spellEnd"/>
      <w:r w:rsidRPr="00D1383A">
        <w:rPr>
          <w:i/>
          <w:szCs w:val="24"/>
        </w:rPr>
        <w:t xml:space="preserve">, 10(1), 195-205. </w:t>
      </w:r>
    </w:p>
    <w:p w:rsidR="00292B4C" w:rsidRPr="00D1383A" w:rsidRDefault="00292B4C" w:rsidP="00D1383A">
      <w:pPr>
        <w:spacing w:afterLines="40" w:after="96"/>
        <w:ind w:left="284" w:hanging="284"/>
        <w:rPr>
          <w:i/>
          <w:szCs w:val="24"/>
        </w:rPr>
      </w:pPr>
      <w:proofErr w:type="spellStart"/>
      <w:r w:rsidRPr="00D1383A">
        <w:rPr>
          <w:i/>
          <w:szCs w:val="24"/>
        </w:rPr>
        <w:t>Chadha</w:t>
      </w:r>
      <w:proofErr w:type="spellEnd"/>
      <w:r w:rsidRPr="00D1383A">
        <w:rPr>
          <w:i/>
          <w:szCs w:val="24"/>
        </w:rPr>
        <w:t xml:space="preserve">, S. y </w:t>
      </w:r>
      <w:proofErr w:type="spellStart"/>
      <w:r w:rsidRPr="00D1383A">
        <w:rPr>
          <w:i/>
          <w:szCs w:val="24"/>
        </w:rPr>
        <w:t>Sharma</w:t>
      </w:r>
      <w:proofErr w:type="spellEnd"/>
      <w:r w:rsidRPr="00D1383A">
        <w:rPr>
          <w:i/>
          <w:szCs w:val="24"/>
        </w:rPr>
        <w:t xml:space="preserve">, </w:t>
      </w:r>
      <w:proofErr w:type="spellStart"/>
      <w:r w:rsidRPr="00D1383A">
        <w:rPr>
          <w:i/>
          <w:szCs w:val="24"/>
        </w:rPr>
        <w:t>Anil</w:t>
      </w:r>
      <w:proofErr w:type="spellEnd"/>
      <w:r w:rsidRPr="00D1383A">
        <w:rPr>
          <w:i/>
          <w:szCs w:val="24"/>
        </w:rPr>
        <w:t xml:space="preserve"> (2015). Capital </w:t>
      </w:r>
      <w:proofErr w:type="spellStart"/>
      <w:r w:rsidRPr="00D1383A">
        <w:rPr>
          <w:i/>
          <w:szCs w:val="24"/>
        </w:rPr>
        <w:t>Structure</w:t>
      </w:r>
      <w:proofErr w:type="spellEnd"/>
      <w:r w:rsidRPr="00D1383A">
        <w:rPr>
          <w:i/>
          <w:szCs w:val="24"/>
        </w:rPr>
        <w:t xml:space="preserve"> and </w:t>
      </w:r>
      <w:proofErr w:type="spellStart"/>
      <w:r w:rsidRPr="00D1383A">
        <w:rPr>
          <w:i/>
          <w:szCs w:val="24"/>
        </w:rPr>
        <w:t>Firm</w:t>
      </w:r>
      <w:proofErr w:type="spellEnd"/>
      <w:r w:rsidRPr="00D1383A">
        <w:rPr>
          <w:i/>
          <w:szCs w:val="24"/>
        </w:rPr>
        <w:t xml:space="preserve"> Performance: </w:t>
      </w:r>
      <w:proofErr w:type="spellStart"/>
      <w:r w:rsidRPr="00D1383A">
        <w:rPr>
          <w:i/>
          <w:szCs w:val="24"/>
        </w:rPr>
        <w:t>Empirical</w:t>
      </w:r>
      <w:proofErr w:type="spellEnd"/>
      <w:r w:rsidRPr="00D1383A">
        <w:rPr>
          <w:i/>
          <w:szCs w:val="24"/>
        </w:rPr>
        <w:t xml:space="preserve"> </w:t>
      </w:r>
      <w:proofErr w:type="spellStart"/>
      <w:r w:rsidRPr="00D1383A">
        <w:rPr>
          <w:i/>
          <w:szCs w:val="24"/>
        </w:rPr>
        <w:t>Evidence</w:t>
      </w:r>
      <w:proofErr w:type="spellEnd"/>
      <w:r w:rsidRPr="00D1383A">
        <w:rPr>
          <w:i/>
          <w:szCs w:val="24"/>
        </w:rPr>
        <w:t xml:space="preserve"> </w:t>
      </w:r>
      <w:proofErr w:type="spellStart"/>
      <w:r w:rsidRPr="00D1383A">
        <w:rPr>
          <w:i/>
          <w:szCs w:val="24"/>
        </w:rPr>
        <w:t>from</w:t>
      </w:r>
      <w:proofErr w:type="spellEnd"/>
      <w:r w:rsidRPr="00D1383A">
        <w:rPr>
          <w:i/>
          <w:szCs w:val="24"/>
        </w:rPr>
        <w:t xml:space="preserve"> India. </w:t>
      </w:r>
      <w:proofErr w:type="spellStart"/>
      <w:r w:rsidRPr="00D1383A">
        <w:rPr>
          <w:i/>
          <w:szCs w:val="24"/>
        </w:rPr>
        <w:t>Vision</w:t>
      </w:r>
      <w:proofErr w:type="spellEnd"/>
      <w:r w:rsidRPr="00D1383A">
        <w:rPr>
          <w:i/>
          <w:szCs w:val="24"/>
        </w:rPr>
        <w:t xml:space="preserve">, 19(4), 295-302. </w:t>
      </w:r>
      <w:proofErr w:type="spellStart"/>
      <w:proofErr w:type="gramStart"/>
      <w:r w:rsidRPr="00D1383A">
        <w:rPr>
          <w:i/>
          <w:szCs w:val="24"/>
        </w:rPr>
        <w:t>doi</w:t>
      </w:r>
      <w:proofErr w:type="spellEnd"/>
      <w:proofErr w:type="gramEnd"/>
      <w:r w:rsidRPr="00D1383A">
        <w:rPr>
          <w:i/>
          <w:szCs w:val="24"/>
        </w:rPr>
        <w:t>: 10.1177/0972262915610852</w:t>
      </w:r>
    </w:p>
    <w:p w:rsidR="009C2C8B" w:rsidRPr="00D1383A" w:rsidRDefault="0033438F" w:rsidP="00D1383A">
      <w:pPr>
        <w:spacing w:afterLines="40" w:after="96"/>
        <w:ind w:left="284" w:hanging="284"/>
        <w:rPr>
          <w:i/>
          <w:szCs w:val="24"/>
        </w:rPr>
      </w:pPr>
      <w:proofErr w:type="spellStart"/>
      <w:r w:rsidRPr="00D1383A">
        <w:rPr>
          <w:i/>
          <w:szCs w:val="24"/>
        </w:rPr>
        <w:t>Chen</w:t>
      </w:r>
      <w:proofErr w:type="spellEnd"/>
      <w:r w:rsidRPr="00D1383A">
        <w:rPr>
          <w:i/>
          <w:szCs w:val="24"/>
        </w:rPr>
        <w:t>, W</w:t>
      </w:r>
      <w:proofErr w:type="gramStart"/>
      <w:r w:rsidRPr="00D1383A">
        <w:rPr>
          <w:i/>
          <w:szCs w:val="24"/>
        </w:rPr>
        <w:t>. ,</w:t>
      </w:r>
      <w:proofErr w:type="gramEnd"/>
      <w:r w:rsidRPr="00D1383A">
        <w:rPr>
          <w:i/>
          <w:szCs w:val="24"/>
        </w:rPr>
        <w:t xml:space="preserve"> </w:t>
      </w:r>
      <w:proofErr w:type="spellStart"/>
      <w:r w:rsidRPr="00D1383A">
        <w:rPr>
          <w:i/>
          <w:szCs w:val="24"/>
        </w:rPr>
        <w:t>Chung</w:t>
      </w:r>
      <w:proofErr w:type="spellEnd"/>
      <w:r w:rsidRPr="00D1383A">
        <w:rPr>
          <w:i/>
          <w:szCs w:val="24"/>
        </w:rPr>
        <w:t xml:space="preserve">, H. , </w:t>
      </w:r>
      <w:proofErr w:type="spellStart"/>
      <w:r w:rsidRPr="00D1383A">
        <w:rPr>
          <w:i/>
          <w:szCs w:val="24"/>
        </w:rPr>
        <w:t>Hsu</w:t>
      </w:r>
      <w:proofErr w:type="spellEnd"/>
      <w:r w:rsidRPr="00D1383A">
        <w:rPr>
          <w:i/>
          <w:szCs w:val="24"/>
        </w:rPr>
        <w:t xml:space="preserve">, T. and </w:t>
      </w:r>
      <w:proofErr w:type="spellStart"/>
      <w:r w:rsidRPr="00D1383A">
        <w:rPr>
          <w:i/>
          <w:szCs w:val="24"/>
        </w:rPr>
        <w:t>Wu</w:t>
      </w:r>
      <w:proofErr w:type="spellEnd"/>
      <w:r w:rsidRPr="00D1383A">
        <w:rPr>
          <w:i/>
          <w:szCs w:val="24"/>
        </w:rPr>
        <w:t xml:space="preserve">, S. (2010), </w:t>
      </w:r>
      <w:proofErr w:type="spellStart"/>
      <w:r w:rsidRPr="00D1383A">
        <w:rPr>
          <w:i/>
          <w:szCs w:val="24"/>
        </w:rPr>
        <w:t>External</w:t>
      </w:r>
      <w:proofErr w:type="spellEnd"/>
      <w:r w:rsidRPr="00D1383A">
        <w:rPr>
          <w:i/>
          <w:szCs w:val="24"/>
        </w:rPr>
        <w:t xml:space="preserve"> </w:t>
      </w:r>
      <w:proofErr w:type="spellStart"/>
      <w:r w:rsidRPr="00D1383A">
        <w:rPr>
          <w:i/>
          <w:szCs w:val="24"/>
        </w:rPr>
        <w:t>Financing</w:t>
      </w:r>
      <w:proofErr w:type="spellEnd"/>
      <w:r w:rsidRPr="00D1383A">
        <w:rPr>
          <w:i/>
          <w:szCs w:val="24"/>
        </w:rPr>
        <w:t xml:space="preserve"> </w:t>
      </w:r>
      <w:proofErr w:type="spellStart"/>
      <w:r w:rsidRPr="00D1383A">
        <w:rPr>
          <w:i/>
          <w:szCs w:val="24"/>
        </w:rPr>
        <w:t>Needs</w:t>
      </w:r>
      <w:proofErr w:type="spellEnd"/>
      <w:r w:rsidRPr="00D1383A">
        <w:rPr>
          <w:i/>
          <w:szCs w:val="24"/>
        </w:rPr>
        <w:t xml:space="preserve">,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and </w:t>
      </w:r>
      <w:proofErr w:type="spellStart"/>
      <w:r w:rsidRPr="00D1383A">
        <w:rPr>
          <w:i/>
          <w:szCs w:val="24"/>
        </w:rPr>
        <w:t>Firm</w:t>
      </w:r>
      <w:proofErr w:type="spellEnd"/>
      <w:r w:rsidRPr="00D1383A">
        <w:rPr>
          <w:i/>
          <w:szCs w:val="24"/>
        </w:rPr>
        <w:t xml:space="preserve"> </w:t>
      </w:r>
      <w:proofErr w:type="spellStart"/>
      <w:r w:rsidRPr="00D1383A">
        <w:rPr>
          <w:i/>
          <w:szCs w:val="24"/>
        </w:rPr>
        <w:t>Value</w:t>
      </w:r>
      <w:proofErr w:type="spellEnd"/>
      <w:r w:rsidRPr="00D1383A">
        <w:rPr>
          <w:i/>
          <w:szCs w:val="24"/>
        </w:rPr>
        <w:t xml:space="preserve">.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w:t>
      </w:r>
      <w:proofErr w:type="spellStart"/>
      <w:r w:rsidRPr="00D1383A">
        <w:rPr>
          <w:i/>
          <w:szCs w:val="24"/>
        </w:rPr>
        <w:t>An</w:t>
      </w:r>
      <w:proofErr w:type="spellEnd"/>
      <w:r w:rsidRPr="00D1383A">
        <w:rPr>
          <w:i/>
          <w:szCs w:val="24"/>
        </w:rPr>
        <w:t xml:space="preserve"> International </w:t>
      </w:r>
      <w:proofErr w:type="spellStart"/>
      <w:r w:rsidRPr="00D1383A">
        <w:rPr>
          <w:i/>
          <w:szCs w:val="24"/>
        </w:rPr>
        <w:t>Review</w:t>
      </w:r>
      <w:proofErr w:type="spellEnd"/>
      <w:r w:rsidRPr="00D1383A">
        <w:rPr>
          <w:i/>
          <w:szCs w:val="24"/>
        </w:rPr>
        <w:t>, 18: 234-249. doi:10.1111/j.1467-8683.2010.00801.x</w:t>
      </w:r>
    </w:p>
    <w:p w:rsidR="00DA20EC" w:rsidRPr="00D1383A" w:rsidRDefault="00DA20EC" w:rsidP="00D1383A">
      <w:pPr>
        <w:spacing w:afterLines="40" w:after="96"/>
        <w:ind w:left="284" w:hanging="284"/>
        <w:rPr>
          <w:i/>
          <w:szCs w:val="24"/>
        </w:rPr>
      </w:pPr>
      <w:proofErr w:type="spellStart"/>
      <w:r w:rsidRPr="00D1383A">
        <w:rPr>
          <w:i/>
          <w:szCs w:val="24"/>
        </w:rPr>
        <w:t>Ciancanelli</w:t>
      </w:r>
      <w:proofErr w:type="spellEnd"/>
      <w:r w:rsidRPr="00D1383A">
        <w:rPr>
          <w:i/>
          <w:szCs w:val="24"/>
        </w:rPr>
        <w:t>, P., y Reyes-</w:t>
      </w:r>
      <w:proofErr w:type="spellStart"/>
      <w:r w:rsidRPr="00D1383A">
        <w:rPr>
          <w:i/>
          <w:szCs w:val="24"/>
        </w:rPr>
        <w:t>Gonzalez</w:t>
      </w:r>
      <w:proofErr w:type="spellEnd"/>
      <w:r w:rsidRPr="00D1383A">
        <w:rPr>
          <w:i/>
          <w:szCs w:val="24"/>
        </w:rPr>
        <w:t xml:space="preserve">, J. A. (2000).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in </w:t>
      </w:r>
      <w:proofErr w:type="spellStart"/>
      <w:r w:rsidRPr="00D1383A">
        <w:rPr>
          <w:i/>
          <w:szCs w:val="24"/>
        </w:rPr>
        <w:t>banking</w:t>
      </w:r>
      <w:proofErr w:type="spellEnd"/>
      <w:r w:rsidRPr="00D1383A">
        <w:rPr>
          <w:i/>
          <w:szCs w:val="24"/>
        </w:rPr>
        <w:t xml:space="preserve">: a conceptual </w:t>
      </w:r>
      <w:proofErr w:type="spellStart"/>
      <w:r w:rsidRPr="00D1383A">
        <w:rPr>
          <w:i/>
          <w:szCs w:val="24"/>
        </w:rPr>
        <w:t>framework</w:t>
      </w:r>
      <w:proofErr w:type="spellEnd"/>
      <w:r w:rsidRPr="00D1383A">
        <w:rPr>
          <w:i/>
          <w:szCs w:val="24"/>
        </w:rPr>
        <w:t>.</w:t>
      </w:r>
    </w:p>
    <w:p w:rsidR="00DA20EC" w:rsidRPr="00D1383A" w:rsidRDefault="00DA20EC" w:rsidP="00D1383A">
      <w:pPr>
        <w:spacing w:afterLines="40" w:after="96"/>
        <w:ind w:left="284" w:hanging="284"/>
        <w:rPr>
          <w:rFonts w:eastAsia="Times New Roman"/>
          <w:i/>
          <w:color w:val="222222"/>
          <w:szCs w:val="24"/>
          <w:lang w:eastAsia="es-PE"/>
        </w:rPr>
      </w:pPr>
      <w:proofErr w:type="spellStart"/>
      <w:r w:rsidRPr="00D1383A">
        <w:rPr>
          <w:i/>
          <w:color w:val="222222"/>
          <w:szCs w:val="24"/>
          <w:shd w:val="clear" w:color="auto" w:fill="FFFFFF"/>
        </w:rPr>
        <w:t>Claessens</w:t>
      </w:r>
      <w:proofErr w:type="spellEnd"/>
      <w:r w:rsidRPr="00D1383A">
        <w:rPr>
          <w:i/>
          <w:color w:val="222222"/>
          <w:szCs w:val="24"/>
          <w:shd w:val="clear" w:color="auto" w:fill="FFFFFF"/>
        </w:rPr>
        <w:t xml:space="preserve">, S., </w:t>
      </w:r>
      <w:proofErr w:type="spellStart"/>
      <w:r w:rsidRPr="00D1383A">
        <w:rPr>
          <w:i/>
          <w:color w:val="222222"/>
          <w:szCs w:val="24"/>
          <w:shd w:val="clear" w:color="auto" w:fill="FFFFFF"/>
        </w:rPr>
        <w:t>Djankov</w:t>
      </w:r>
      <w:proofErr w:type="spellEnd"/>
      <w:r w:rsidRPr="00D1383A">
        <w:rPr>
          <w:i/>
          <w:color w:val="222222"/>
          <w:szCs w:val="24"/>
          <w:shd w:val="clear" w:color="auto" w:fill="FFFFFF"/>
        </w:rPr>
        <w:t xml:space="preserve">, S., y </w:t>
      </w:r>
      <w:proofErr w:type="spellStart"/>
      <w:r w:rsidRPr="00D1383A">
        <w:rPr>
          <w:i/>
          <w:color w:val="222222"/>
          <w:szCs w:val="24"/>
          <w:shd w:val="clear" w:color="auto" w:fill="FFFFFF"/>
        </w:rPr>
        <w:t>Lang</w:t>
      </w:r>
      <w:proofErr w:type="spellEnd"/>
      <w:r w:rsidRPr="00D1383A">
        <w:rPr>
          <w:i/>
          <w:color w:val="222222"/>
          <w:szCs w:val="24"/>
          <w:shd w:val="clear" w:color="auto" w:fill="FFFFFF"/>
        </w:rPr>
        <w:t xml:space="preserve">, L. H. (2000). </w:t>
      </w:r>
      <w:proofErr w:type="spellStart"/>
      <w:r w:rsidRPr="00D1383A">
        <w:rPr>
          <w:i/>
          <w:color w:val="222222"/>
          <w:szCs w:val="24"/>
          <w:shd w:val="clear" w:color="auto" w:fill="FFFFFF"/>
        </w:rPr>
        <w:t>The</w:t>
      </w:r>
      <w:proofErr w:type="spellEnd"/>
      <w:r w:rsidRPr="00D1383A">
        <w:rPr>
          <w:i/>
          <w:color w:val="222222"/>
          <w:szCs w:val="24"/>
          <w:shd w:val="clear" w:color="auto" w:fill="FFFFFF"/>
        </w:rPr>
        <w:t xml:space="preserve"> </w:t>
      </w:r>
      <w:proofErr w:type="spellStart"/>
      <w:r w:rsidRPr="00D1383A">
        <w:rPr>
          <w:i/>
          <w:color w:val="222222"/>
          <w:szCs w:val="24"/>
          <w:shd w:val="clear" w:color="auto" w:fill="FFFFFF"/>
        </w:rPr>
        <w:t>separation</w:t>
      </w:r>
      <w:proofErr w:type="spellEnd"/>
      <w:r w:rsidRPr="00D1383A">
        <w:rPr>
          <w:i/>
          <w:color w:val="222222"/>
          <w:szCs w:val="24"/>
          <w:shd w:val="clear" w:color="auto" w:fill="FFFFFF"/>
        </w:rPr>
        <w:t xml:space="preserve"> of </w:t>
      </w:r>
      <w:proofErr w:type="spellStart"/>
      <w:r w:rsidRPr="00D1383A">
        <w:rPr>
          <w:i/>
          <w:color w:val="222222"/>
          <w:szCs w:val="24"/>
          <w:shd w:val="clear" w:color="auto" w:fill="FFFFFF"/>
        </w:rPr>
        <w:t>ownership</w:t>
      </w:r>
      <w:proofErr w:type="spellEnd"/>
      <w:r w:rsidRPr="00D1383A">
        <w:rPr>
          <w:i/>
          <w:color w:val="222222"/>
          <w:szCs w:val="24"/>
          <w:shd w:val="clear" w:color="auto" w:fill="FFFFFF"/>
        </w:rPr>
        <w:t xml:space="preserve"> and control in East </w:t>
      </w:r>
      <w:proofErr w:type="spellStart"/>
      <w:r w:rsidRPr="00D1383A">
        <w:rPr>
          <w:i/>
          <w:color w:val="222222"/>
          <w:szCs w:val="24"/>
          <w:shd w:val="clear" w:color="auto" w:fill="FFFFFF"/>
        </w:rPr>
        <w:t>Asian</w:t>
      </w:r>
      <w:proofErr w:type="spellEnd"/>
      <w:r w:rsidRPr="00D1383A">
        <w:rPr>
          <w:i/>
          <w:color w:val="222222"/>
          <w:szCs w:val="24"/>
          <w:shd w:val="clear" w:color="auto" w:fill="FFFFFF"/>
        </w:rPr>
        <w:t xml:space="preserve"> </w:t>
      </w:r>
      <w:proofErr w:type="spellStart"/>
      <w:r w:rsidRPr="00D1383A">
        <w:rPr>
          <w:i/>
          <w:color w:val="222222"/>
          <w:szCs w:val="24"/>
          <w:shd w:val="clear" w:color="auto" w:fill="FFFFFF"/>
        </w:rPr>
        <w:t>corporations</w:t>
      </w:r>
      <w:proofErr w:type="spellEnd"/>
      <w:r w:rsidRPr="00D1383A">
        <w:rPr>
          <w:i/>
          <w:color w:val="222222"/>
          <w:szCs w:val="24"/>
          <w:shd w:val="clear" w:color="auto" w:fill="FFFFFF"/>
        </w:rPr>
        <w:t>. </w:t>
      </w:r>
      <w:proofErr w:type="spellStart"/>
      <w:r w:rsidRPr="00D1383A">
        <w:rPr>
          <w:i/>
          <w:color w:val="222222"/>
          <w:szCs w:val="24"/>
          <w:shd w:val="clear" w:color="auto" w:fill="FFFFFF"/>
        </w:rPr>
        <w:t>Journal</w:t>
      </w:r>
      <w:proofErr w:type="spellEnd"/>
      <w:r w:rsidRPr="00D1383A">
        <w:rPr>
          <w:i/>
          <w:color w:val="222222"/>
          <w:szCs w:val="24"/>
          <w:shd w:val="clear" w:color="auto" w:fill="FFFFFF"/>
        </w:rPr>
        <w:t xml:space="preserve"> of </w:t>
      </w:r>
      <w:proofErr w:type="spellStart"/>
      <w:r w:rsidRPr="00D1383A">
        <w:rPr>
          <w:i/>
          <w:color w:val="222222"/>
          <w:szCs w:val="24"/>
          <w:shd w:val="clear" w:color="auto" w:fill="FFFFFF"/>
        </w:rPr>
        <w:t>financial</w:t>
      </w:r>
      <w:proofErr w:type="spellEnd"/>
      <w:r w:rsidRPr="00D1383A">
        <w:rPr>
          <w:i/>
          <w:color w:val="222222"/>
          <w:szCs w:val="24"/>
          <w:shd w:val="clear" w:color="auto" w:fill="FFFFFF"/>
        </w:rPr>
        <w:t xml:space="preserve"> </w:t>
      </w:r>
      <w:proofErr w:type="spellStart"/>
      <w:r w:rsidRPr="00D1383A">
        <w:rPr>
          <w:i/>
          <w:color w:val="222222"/>
          <w:szCs w:val="24"/>
          <w:shd w:val="clear" w:color="auto" w:fill="FFFFFF"/>
        </w:rPr>
        <w:t>Economics</w:t>
      </w:r>
      <w:proofErr w:type="spellEnd"/>
      <w:r w:rsidRPr="00D1383A">
        <w:rPr>
          <w:i/>
          <w:color w:val="222222"/>
          <w:szCs w:val="24"/>
          <w:shd w:val="clear" w:color="auto" w:fill="FFFFFF"/>
        </w:rPr>
        <w:t xml:space="preserve">, 58(1), 81-112. </w:t>
      </w:r>
    </w:p>
    <w:p w:rsidR="0033438F" w:rsidRPr="00D1383A" w:rsidRDefault="009C2C8B" w:rsidP="00D1383A">
      <w:pPr>
        <w:spacing w:afterLines="40" w:after="96"/>
        <w:ind w:left="284" w:hanging="284"/>
        <w:rPr>
          <w:i/>
          <w:szCs w:val="24"/>
        </w:rPr>
      </w:pPr>
      <w:proofErr w:type="spellStart"/>
      <w:r w:rsidRPr="00D1383A">
        <w:rPr>
          <w:i/>
          <w:szCs w:val="24"/>
        </w:rPr>
        <w:t>Daines</w:t>
      </w:r>
      <w:proofErr w:type="spellEnd"/>
      <w:r w:rsidRPr="00D1383A">
        <w:rPr>
          <w:i/>
          <w:szCs w:val="24"/>
        </w:rPr>
        <w:t xml:space="preserve">, R. (2001). </w:t>
      </w:r>
      <w:proofErr w:type="spellStart"/>
      <w:r w:rsidRPr="00D1383A">
        <w:rPr>
          <w:i/>
          <w:szCs w:val="24"/>
        </w:rPr>
        <w:t>Does</w:t>
      </w:r>
      <w:proofErr w:type="spellEnd"/>
      <w:r w:rsidRPr="00D1383A">
        <w:rPr>
          <w:i/>
          <w:szCs w:val="24"/>
        </w:rPr>
        <w:t xml:space="preserve"> Delaware </w:t>
      </w:r>
      <w:proofErr w:type="spellStart"/>
      <w:r w:rsidRPr="00D1383A">
        <w:rPr>
          <w:i/>
          <w:szCs w:val="24"/>
        </w:rPr>
        <w:t>law</w:t>
      </w:r>
      <w:proofErr w:type="spellEnd"/>
      <w:r w:rsidRPr="00D1383A">
        <w:rPr>
          <w:i/>
          <w:szCs w:val="24"/>
        </w:rPr>
        <w:t xml:space="preserve"> </w:t>
      </w:r>
      <w:proofErr w:type="spellStart"/>
      <w:r w:rsidRPr="00D1383A">
        <w:rPr>
          <w:i/>
          <w:szCs w:val="24"/>
        </w:rPr>
        <w:t>improve</w:t>
      </w:r>
      <w:proofErr w:type="spellEnd"/>
      <w:r w:rsidRPr="00D1383A">
        <w:rPr>
          <w:i/>
          <w:szCs w:val="24"/>
        </w:rPr>
        <w:t xml:space="preserve"> </w:t>
      </w:r>
      <w:proofErr w:type="spellStart"/>
      <w:r w:rsidRPr="00D1383A">
        <w:rPr>
          <w:i/>
          <w:szCs w:val="24"/>
        </w:rPr>
        <w:t>firm</w:t>
      </w:r>
      <w:proofErr w:type="spellEnd"/>
      <w:r w:rsidRPr="00D1383A">
        <w:rPr>
          <w:i/>
          <w:szCs w:val="24"/>
        </w:rPr>
        <w:t xml:space="preserve"> </w:t>
      </w:r>
      <w:proofErr w:type="spellStart"/>
      <w:r w:rsidRPr="00D1383A">
        <w:rPr>
          <w:i/>
          <w:szCs w:val="24"/>
        </w:rPr>
        <w:t>value</w:t>
      </w:r>
      <w:proofErr w:type="spellEnd"/>
      <w:r w:rsidRPr="00D1383A">
        <w:rPr>
          <w:i/>
          <w:szCs w:val="24"/>
        </w:rPr>
        <w:t xml:space="preserve">? </w:t>
      </w:r>
      <w:proofErr w:type="spellStart"/>
      <w:r w:rsidRPr="00D1383A">
        <w:rPr>
          <w:i/>
          <w:szCs w:val="24"/>
        </w:rPr>
        <w:t>Journal</w:t>
      </w:r>
      <w:proofErr w:type="spellEnd"/>
      <w:r w:rsidRPr="00D1383A">
        <w:rPr>
          <w:i/>
          <w:szCs w:val="24"/>
        </w:rPr>
        <w:t xml:space="preserve"> of </w:t>
      </w:r>
      <w:proofErr w:type="spellStart"/>
      <w:r w:rsidRPr="00D1383A">
        <w:rPr>
          <w:i/>
          <w:szCs w:val="24"/>
        </w:rPr>
        <w:t>Financial</w:t>
      </w:r>
      <w:proofErr w:type="spellEnd"/>
      <w:r w:rsidRPr="00D1383A">
        <w:rPr>
          <w:i/>
          <w:szCs w:val="24"/>
        </w:rPr>
        <w:t xml:space="preserve"> </w:t>
      </w:r>
      <w:proofErr w:type="spellStart"/>
      <w:r w:rsidRPr="00D1383A">
        <w:rPr>
          <w:i/>
          <w:szCs w:val="24"/>
        </w:rPr>
        <w:t>Economics</w:t>
      </w:r>
      <w:proofErr w:type="spellEnd"/>
      <w:r w:rsidRPr="00D1383A">
        <w:rPr>
          <w:i/>
          <w:szCs w:val="24"/>
        </w:rPr>
        <w:t>, 62(3), 525-558.</w:t>
      </w:r>
      <w:r w:rsidR="0033438F" w:rsidRPr="00D1383A">
        <w:rPr>
          <w:i/>
          <w:szCs w:val="24"/>
        </w:rPr>
        <w:t xml:space="preserve"> </w:t>
      </w:r>
    </w:p>
    <w:p w:rsidR="009C2C8B" w:rsidRPr="00D1383A" w:rsidRDefault="0033438F" w:rsidP="00D1383A">
      <w:pPr>
        <w:spacing w:afterLines="40" w:after="96"/>
        <w:ind w:left="284" w:hanging="284"/>
        <w:rPr>
          <w:i/>
          <w:szCs w:val="24"/>
        </w:rPr>
      </w:pPr>
      <w:r w:rsidRPr="00D1383A">
        <w:rPr>
          <w:i/>
          <w:szCs w:val="24"/>
        </w:rPr>
        <w:t>De Miguel, A</w:t>
      </w:r>
      <w:proofErr w:type="gramStart"/>
      <w:r w:rsidRPr="00D1383A">
        <w:rPr>
          <w:i/>
          <w:szCs w:val="24"/>
        </w:rPr>
        <w:t>. ,</w:t>
      </w:r>
      <w:proofErr w:type="gramEnd"/>
      <w:r w:rsidRPr="00D1383A">
        <w:rPr>
          <w:i/>
          <w:szCs w:val="24"/>
        </w:rPr>
        <w:t xml:space="preserve"> Pindado, J. and De la Torre, C. (2004), </w:t>
      </w:r>
      <w:proofErr w:type="spellStart"/>
      <w:r w:rsidRPr="00D1383A">
        <w:rPr>
          <w:i/>
          <w:szCs w:val="24"/>
        </w:rPr>
        <w:t>Ownership</w:t>
      </w:r>
      <w:proofErr w:type="spellEnd"/>
      <w:r w:rsidRPr="00D1383A">
        <w:rPr>
          <w:i/>
          <w:szCs w:val="24"/>
        </w:rPr>
        <w:t xml:space="preserve"> </w:t>
      </w:r>
      <w:proofErr w:type="spellStart"/>
      <w:r w:rsidRPr="00D1383A">
        <w:rPr>
          <w:i/>
          <w:szCs w:val="24"/>
        </w:rPr>
        <w:t>structure</w:t>
      </w:r>
      <w:proofErr w:type="spellEnd"/>
      <w:r w:rsidRPr="00D1383A">
        <w:rPr>
          <w:i/>
          <w:szCs w:val="24"/>
        </w:rPr>
        <w:t xml:space="preserve"> and </w:t>
      </w:r>
      <w:proofErr w:type="spellStart"/>
      <w:r w:rsidRPr="00D1383A">
        <w:rPr>
          <w:i/>
          <w:szCs w:val="24"/>
        </w:rPr>
        <w:t>firm</w:t>
      </w:r>
      <w:proofErr w:type="spellEnd"/>
      <w:r w:rsidRPr="00D1383A">
        <w:rPr>
          <w:i/>
          <w:szCs w:val="24"/>
        </w:rPr>
        <w:t xml:space="preserve"> </w:t>
      </w:r>
      <w:proofErr w:type="spellStart"/>
      <w:r w:rsidRPr="00D1383A">
        <w:rPr>
          <w:i/>
          <w:szCs w:val="24"/>
        </w:rPr>
        <w:t>value</w:t>
      </w:r>
      <w:proofErr w:type="spellEnd"/>
      <w:r w:rsidRPr="00D1383A">
        <w:rPr>
          <w:i/>
          <w:szCs w:val="24"/>
        </w:rPr>
        <w:t xml:space="preserve">: new </w:t>
      </w:r>
      <w:proofErr w:type="spellStart"/>
      <w:r w:rsidRPr="00D1383A">
        <w:rPr>
          <w:i/>
          <w:szCs w:val="24"/>
        </w:rPr>
        <w:t>evidence</w:t>
      </w:r>
      <w:proofErr w:type="spellEnd"/>
      <w:r w:rsidRPr="00D1383A">
        <w:rPr>
          <w:i/>
          <w:szCs w:val="24"/>
        </w:rPr>
        <w:t xml:space="preserve"> </w:t>
      </w:r>
      <w:proofErr w:type="spellStart"/>
      <w:r w:rsidRPr="00D1383A">
        <w:rPr>
          <w:i/>
          <w:szCs w:val="24"/>
        </w:rPr>
        <w:t>from</w:t>
      </w:r>
      <w:proofErr w:type="spellEnd"/>
      <w:r w:rsidRPr="00D1383A">
        <w:rPr>
          <w:i/>
          <w:szCs w:val="24"/>
        </w:rPr>
        <w:t xml:space="preserve"> </w:t>
      </w:r>
      <w:proofErr w:type="spellStart"/>
      <w:r w:rsidRPr="00D1383A">
        <w:rPr>
          <w:i/>
          <w:szCs w:val="24"/>
        </w:rPr>
        <w:t>Spain</w:t>
      </w:r>
      <w:proofErr w:type="spellEnd"/>
      <w:r w:rsidRPr="00D1383A">
        <w:rPr>
          <w:i/>
          <w:szCs w:val="24"/>
        </w:rPr>
        <w:t xml:space="preserve">. </w:t>
      </w:r>
      <w:proofErr w:type="spellStart"/>
      <w:r w:rsidRPr="00D1383A">
        <w:rPr>
          <w:i/>
          <w:szCs w:val="24"/>
        </w:rPr>
        <w:t>Strat</w:t>
      </w:r>
      <w:proofErr w:type="spellEnd"/>
      <w:r w:rsidRPr="00D1383A">
        <w:rPr>
          <w:i/>
          <w:szCs w:val="24"/>
        </w:rPr>
        <w:t xml:space="preserve">. </w:t>
      </w:r>
      <w:proofErr w:type="spellStart"/>
      <w:r w:rsidRPr="00D1383A">
        <w:rPr>
          <w:i/>
          <w:szCs w:val="24"/>
        </w:rPr>
        <w:t>Mgmt</w:t>
      </w:r>
      <w:proofErr w:type="spellEnd"/>
      <w:r w:rsidRPr="00D1383A">
        <w:rPr>
          <w:i/>
          <w:szCs w:val="24"/>
        </w:rPr>
        <w:t>. J., 25: 1199-1207. doi:10.1002/smj.430</w:t>
      </w:r>
    </w:p>
    <w:p w:rsidR="00FF71CD" w:rsidRPr="00D1383A" w:rsidRDefault="009C2C8B" w:rsidP="00D1383A">
      <w:pPr>
        <w:spacing w:afterLines="40" w:after="96"/>
        <w:ind w:left="284" w:hanging="284"/>
        <w:rPr>
          <w:i/>
          <w:szCs w:val="24"/>
        </w:rPr>
      </w:pPr>
      <w:proofErr w:type="spellStart"/>
      <w:r w:rsidRPr="00D1383A">
        <w:rPr>
          <w:i/>
          <w:szCs w:val="24"/>
        </w:rPr>
        <w:t>Ficici</w:t>
      </w:r>
      <w:proofErr w:type="spellEnd"/>
      <w:r w:rsidRPr="00D1383A">
        <w:rPr>
          <w:i/>
          <w:szCs w:val="24"/>
        </w:rPr>
        <w:t xml:space="preserve">, A. y </w:t>
      </w:r>
      <w:proofErr w:type="spellStart"/>
      <w:r w:rsidRPr="00D1383A">
        <w:rPr>
          <w:i/>
          <w:szCs w:val="24"/>
        </w:rPr>
        <w:t>Aybar</w:t>
      </w:r>
      <w:proofErr w:type="spellEnd"/>
      <w:r w:rsidRPr="00D1383A">
        <w:rPr>
          <w:i/>
          <w:szCs w:val="24"/>
        </w:rPr>
        <w:t xml:space="preserve">, B. (2012).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and </w:t>
      </w:r>
      <w:proofErr w:type="spellStart"/>
      <w:r w:rsidRPr="00D1383A">
        <w:rPr>
          <w:i/>
          <w:szCs w:val="24"/>
        </w:rPr>
        <w:t>Firm</w:t>
      </w:r>
      <w:proofErr w:type="spellEnd"/>
      <w:r w:rsidRPr="00D1383A">
        <w:rPr>
          <w:i/>
          <w:szCs w:val="24"/>
        </w:rPr>
        <w:t xml:space="preserve"> </w:t>
      </w:r>
      <w:proofErr w:type="spellStart"/>
      <w:r w:rsidRPr="00D1383A">
        <w:rPr>
          <w:i/>
          <w:szCs w:val="24"/>
        </w:rPr>
        <w:t>Value</w:t>
      </w:r>
      <w:proofErr w:type="spellEnd"/>
      <w:r w:rsidRPr="00D1383A">
        <w:rPr>
          <w:i/>
          <w:szCs w:val="24"/>
        </w:rPr>
        <w:t xml:space="preserve"> in </w:t>
      </w:r>
      <w:proofErr w:type="spellStart"/>
      <w:r w:rsidRPr="00D1383A">
        <w:rPr>
          <w:i/>
          <w:szCs w:val="24"/>
        </w:rPr>
        <w:t>Emerging</w:t>
      </w:r>
      <w:proofErr w:type="spellEnd"/>
      <w:r w:rsidRPr="00D1383A">
        <w:rPr>
          <w:i/>
          <w:szCs w:val="24"/>
        </w:rPr>
        <w:t xml:space="preserve"> </w:t>
      </w:r>
      <w:proofErr w:type="spellStart"/>
      <w:r w:rsidRPr="00D1383A">
        <w:rPr>
          <w:i/>
          <w:szCs w:val="24"/>
        </w:rPr>
        <w:t>Markets</w:t>
      </w:r>
      <w:proofErr w:type="spellEnd"/>
      <w:proofErr w:type="gramStart"/>
      <w:r w:rsidRPr="00D1383A">
        <w:rPr>
          <w:i/>
          <w:szCs w:val="24"/>
        </w:rPr>
        <w:t xml:space="preserve">:  </w:t>
      </w:r>
      <w:proofErr w:type="spellStart"/>
      <w:r w:rsidRPr="00D1383A">
        <w:rPr>
          <w:i/>
          <w:szCs w:val="24"/>
        </w:rPr>
        <w:t>An</w:t>
      </w:r>
      <w:proofErr w:type="spellEnd"/>
      <w:proofErr w:type="gramEnd"/>
      <w:r w:rsidRPr="00D1383A">
        <w:rPr>
          <w:i/>
          <w:szCs w:val="24"/>
        </w:rPr>
        <w:t xml:space="preserve"> </w:t>
      </w:r>
      <w:proofErr w:type="spellStart"/>
      <w:r w:rsidRPr="00D1383A">
        <w:rPr>
          <w:i/>
          <w:szCs w:val="24"/>
        </w:rPr>
        <w:t>Empirical</w:t>
      </w:r>
      <w:proofErr w:type="spellEnd"/>
      <w:r w:rsidRPr="00D1383A">
        <w:rPr>
          <w:i/>
          <w:szCs w:val="24"/>
        </w:rPr>
        <w:t xml:space="preserve"> </w:t>
      </w:r>
      <w:proofErr w:type="spellStart"/>
      <w:r w:rsidRPr="00D1383A">
        <w:rPr>
          <w:i/>
          <w:szCs w:val="24"/>
        </w:rPr>
        <w:t>Analysis</w:t>
      </w:r>
      <w:proofErr w:type="spellEnd"/>
      <w:r w:rsidRPr="00D1383A">
        <w:rPr>
          <w:i/>
          <w:szCs w:val="24"/>
        </w:rPr>
        <w:t xml:space="preserve"> of ADR </w:t>
      </w:r>
      <w:proofErr w:type="spellStart"/>
      <w:r w:rsidRPr="00D1383A">
        <w:rPr>
          <w:i/>
          <w:szCs w:val="24"/>
        </w:rPr>
        <w:t>issuing</w:t>
      </w:r>
      <w:proofErr w:type="spellEnd"/>
      <w:r w:rsidRPr="00D1383A">
        <w:rPr>
          <w:i/>
          <w:szCs w:val="24"/>
        </w:rPr>
        <w:t xml:space="preserve"> </w:t>
      </w:r>
      <w:proofErr w:type="spellStart"/>
      <w:r w:rsidRPr="00D1383A">
        <w:rPr>
          <w:i/>
          <w:szCs w:val="24"/>
        </w:rPr>
        <w:t>Emerging</w:t>
      </w:r>
      <w:proofErr w:type="spellEnd"/>
      <w:r w:rsidRPr="00D1383A">
        <w:rPr>
          <w:i/>
          <w:szCs w:val="24"/>
        </w:rPr>
        <w:t xml:space="preserve"> </w:t>
      </w:r>
      <w:proofErr w:type="spellStart"/>
      <w:r w:rsidRPr="00D1383A">
        <w:rPr>
          <w:i/>
          <w:szCs w:val="24"/>
        </w:rPr>
        <w:t>Markets</w:t>
      </w:r>
      <w:proofErr w:type="spellEnd"/>
      <w:r w:rsidRPr="00D1383A">
        <w:rPr>
          <w:i/>
          <w:szCs w:val="24"/>
        </w:rPr>
        <w:t xml:space="preserve">. </w:t>
      </w:r>
      <w:proofErr w:type="spellStart"/>
      <w:r w:rsidRPr="00D1383A">
        <w:rPr>
          <w:i/>
          <w:szCs w:val="24"/>
        </w:rPr>
        <w:t>Emerging</w:t>
      </w:r>
      <w:proofErr w:type="spellEnd"/>
      <w:r w:rsidRPr="00D1383A">
        <w:rPr>
          <w:i/>
          <w:szCs w:val="24"/>
        </w:rPr>
        <w:t xml:space="preserve"> </w:t>
      </w:r>
      <w:proofErr w:type="spellStart"/>
      <w:r w:rsidRPr="00D1383A">
        <w:rPr>
          <w:i/>
          <w:szCs w:val="24"/>
        </w:rPr>
        <w:t>Markets</w:t>
      </w:r>
      <w:proofErr w:type="spellEnd"/>
      <w:r w:rsidRPr="00D1383A">
        <w:rPr>
          <w:i/>
          <w:szCs w:val="24"/>
        </w:rPr>
        <w:t xml:space="preserve"> </w:t>
      </w:r>
      <w:proofErr w:type="spellStart"/>
      <w:r w:rsidRPr="00D1383A">
        <w:rPr>
          <w:i/>
          <w:szCs w:val="24"/>
        </w:rPr>
        <w:t>Journal</w:t>
      </w:r>
      <w:proofErr w:type="spellEnd"/>
      <w:r w:rsidRPr="00D1383A">
        <w:rPr>
          <w:i/>
          <w:szCs w:val="24"/>
        </w:rPr>
        <w:t xml:space="preserve">, 2(1), 38-51. </w:t>
      </w:r>
    </w:p>
    <w:p w:rsidR="009C2C8B" w:rsidRPr="00D1383A" w:rsidRDefault="00FF71CD" w:rsidP="00D1383A">
      <w:pPr>
        <w:spacing w:afterLines="40" w:after="96"/>
        <w:ind w:left="284" w:hanging="284"/>
        <w:rPr>
          <w:i/>
          <w:szCs w:val="24"/>
        </w:rPr>
      </w:pPr>
      <w:r w:rsidRPr="00D1383A">
        <w:rPr>
          <w:i/>
          <w:szCs w:val="24"/>
        </w:rPr>
        <w:t xml:space="preserve">Gill, A., </w:t>
      </w:r>
      <w:proofErr w:type="spellStart"/>
      <w:r w:rsidRPr="00D1383A">
        <w:rPr>
          <w:i/>
          <w:szCs w:val="24"/>
        </w:rPr>
        <w:t>Biger</w:t>
      </w:r>
      <w:proofErr w:type="spellEnd"/>
      <w:r w:rsidRPr="00D1383A">
        <w:rPr>
          <w:i/>
          <w:szCs w:val="24"/>
        </w:rPr>
        <w:t xml:space="preserve">, N., &amp; </w:t>
      </w:r>
      <w:proofErr w:type="spellStart"/>
      <w:r w:rsidRPr="00D1383A">
        <w:rPr>
          <w:i/>
          <w:szCs w:val="24"/>
        </w:rPr>
        <w:t>Mathur</w:t>
      </w:r>
      <w:proofErr w:type="spellEnd"/>
      <w:r w:rsidRPr="00D1383A">
        <w:rPr>
          <w:i/>
          <w:szCs w:val="24"/>
        </w:rPr>
        <w:t xml:space="preserve">, N. (2011). </w:t>
      </w:r>
      <w:proofErr w:type="spellStart"/>
      <w:r w:rsidRPr="00D1383A">
        <w:rPr>
          <w:i/>
          <w:szCs w:val="24"/>
        </w:rPr>
        <w:t>The</w:t>
      </w:r>
      <w:proofErr w:type="spellEnd"/>
      <w:r w:rsidRPr="00D1383A">
        <w:rPr>
          <w:i/>
          <w:szCs w:val="24"/>
        </w:rPr>
        <w:t xml:space="preserve"> </w:t>
      </w:r>
      <w:proofErr w:type="spellStart"/>
      <w:r w:rsidRPr="00D1383A">
        <w:rPr>
          <w:i/>
          <w:szCs w:val="24"/>
        </w:rPr>
        <w:t>effect</w:t>
      </w:r>
      <w:proofErr w:type="spellEnd"/>
      <w:r w:rsidRPr="00D1383A">
        <w:rPr>
          <w:i/>
          <w:szCs w:val="24"/>
        </w:rPr>
        <w:t xml:space="preserve"> of capital </w:t>
      </w:r>
      <w:proofErr w:type="spellStart"/>
      <w:r w:rsidRPr="00D1383A">
        <w:rPr>
          <w:i/>
          <w:szCs w:val="24"/>
        </w:rPr>
        <w:t>structure</w:t>
      </w:r>
      <w:proofErr w:type="spellEnd"/>
      <w:r w:rsidRPr="00D1383A">
        <w:rPr>
          <w:i/>
          <w:szCs w:val="24"/>
        </w:rPr>
        <w:t xml:space="preserve"> </w:t>
      </w:r>
      <w:proofErr w:type="spellStart"/>
      <w:r w:rsidRPr="00D1383A">
        <w:rPr>
          <w:i/>
          <w:szCs w:val="24"/>
        </w:rPr>
        <w:t>on</w:t>
      </w:r>
      <w:proofErr w:type="spellEnd"/>
      <w:r w:rsidRPr="00D1383A">
        <w:rPr>
          <w:i/>
          <w:szCs w:val="24"/>
        </w:rPr>
        <w:t xml:space="preserve"> </w:t>
      </w:r>
      <w:proofErr w:type="spellStart"/>
      <w:r w:rsidRPr="00D1383A">
        <w:rPr>
          <w:i/>
          <w:szCs w:val="24"/>
        </w:rPr>
        <w:t>profitability</w:t>
      </w:r>
      <w:proofErr w:type="spellEnd"/>
      <w:r w:rsidRPr="00D1383A">
        <w:rPr>
          <w:i/>
          <w:szCs w:val="24"/>
        </w:rPr>
        <w:t xml:space="preserve">: </w:t>
      </w:r>
      <w:proofErr w:type="spellStart"/>
      <w:r w:rsidRPr="00D1383A">
        <w:rPr>
          <w:i/>
          <w:szCs w:val="24"/>
        </w:rPr>
        <w:t>Evidence</w:t>
      </w:r>
      <w:proofErr w:type="spellEnd"/>
      <w:r w:rsidRPr="00D1383A">
        <w:rPr>
          <w:i/>
          <w:szCs w:val="24"/>
        </w:rPr>
        <w:t xml:space="preserve"> </w:t>
      </w:r>
      <w:proofErr w:type="spellStart"/>
      <w:r w:rsidRPr="00D1383A">
        <w:rPr>
          <w:i/>
          <w:szCs w:val="24"/>
        </w:rPr>
        <w:t>from</w:t>
      </w:r>
      <w:proofErr w:type="spellEnd"/>
      <w:r w:rsidRPr="00D1383A">
        <w:rPr>
          <w:i/>
          <w:szCs w:val="24"/>
        </w:rPr>
        <w:t xml:space="preserve"> </w:t>
      </w:r>
      <w:proofErr w:type="spellStart"/>
      <w:r w:rsidRPr="00D1383A">
        <w:rPr>
          <w:i/>
          <w:szCs w:val="24"/>
        </w:rPr>
        <w:t>the</w:t>
      </w:r>
      <w:proofErr w:type="spellEnd"/>
      <w:r w:rsidRPr="00D1383A">
        <w:rPr>
          <w:i/>
          <w:szCs w:val="24"/>
        </w:rPr>
        <w:t xml:space="preserve"> </w:t>
      </w:r>
      <w:proofErr w:type="spellStart"/>
      <w:r w:rsidRPr="00D1383A">
        <w:rPr>
          <w:i/>
          <w:szCs w:val="24"/>
        </w:rPr>
        <w:t>United</w:t>
      </w:r>
      <w:proofErr w:type="spellEnd"/>
      <w:r w:rsidRPr="00D1383A">
        <w:rPr>
          <w:i/>
          <w:szCs w:val="24"/>
        </w:rPr>
        <w:t xml:space="preserve"> </w:t>
      </w:r>
      <w:proofErr w:type="spellStart"/>
      <w:r w:rsidRPr="00D1383A">
        <w:rPr>
          <w:i/>
          <w:szCs w:val="24"/>
        </w:rPr>
        <w:t>States</w:t>
      </w:r>
      <w:proofErr w:type="spellEnd"/>
      <w:r w:rsidRPr="00D1383A">
        <w:rPr>
          <w:i/>
          <w:szCs w:val="24"/>
        </w:rPr>
        <w:t xml:space="preserve">. International </w:t>
      </w:r>
      <w:proofErr w:type="spellStart"/>
      <w:r w:rsidRPr="00D1383A">
        <w:rPr>
          <w:i/>
          <w:szCs w:val="24"/>
        </w:rPr>
        <w:t>Journal</w:t>
      </w:r>
      <w:proofErr w:type="spellEnd"/>
      <w:r w:rsidRPr="00D1383A">
        <w:rPr>
          <w:i/>
          <w:szCs w:val="24"/>
        </w:rPr>
        <w:t xml:space="preserve"> of Management, 28(4), 3–15.</w:t>
      </w:r>
    </w:p>
    <w:p w:rsidR="00254F49" w:rsidRPr="00D1383A" w:rsidRDefault="009C2C8B" w:rsidP="00D1383A">
      <w:pPr>
        <w:spacing w:afterLines="40" w:after="96"/>
        <w:ind w:left="284" w:hanging="284"/>
        <w:rPr>
          <w:i/>
          <w:szCs w:val="24"/>
        </w:rPr>
      </w:pPr>
      <w:proofErr w:type="spellStart"/>
      <w:r w:rsidRPr="00D1383A">
        <w:rPr>
          <w:i/>
          <w:szCs w:val="24"/>
        </w:rPr>
        <w:t>Gompers</w:t>
      </w:r>
      <w:proofErr w:type="spellEnd"/>
      <w:r w:rsidRPr="00D1383A">
        <w:rPr>
          <w:i/>
          <w:szCs w:val="24"/>
        </w:rPr>
        <w:t xml:space="preserve">, P., </w:t>
      </w:r>
      <w:proofErr w:type="spellStart"/>
      <w:r w:rsidRPr="00D1383A">
        <w:rPr>
          <w:i/>
          <w:szCs w:val="24"/>
        </w:rPr>
        <w:t>Ishii</w:t>
      </w:r>
      <w:proofErr w:type="spellEnd"/>
      <w:r w:rsidRPr="00D1383A">
        <w:rPr>
          <w:i/>
          <w:szCs w:val="24"/>
        </w:rPr>
        <w:t xml:space="preserve">, J. Y </w:t>
      </w:r>
      <w:proofErr w:type="spellStart"/>
      <w:r w:rsidRPr="00D1383A">
        <w:rPr>
          <w:i/>
          <w:szCs w:val="24"/>
        </w:rPr>
        <w:t>Metrick</w:t>
      </w:r>
      <w:proofErr w:type="spellEnd"/>
      <w:r w:rsidRPr="00D1383A">
        <w:rPr>
          <w:i/>
          <w:szCs w:val="24"/>
        </w:rPr>
        <w:t xml:space="preserve">, A. (setiembre de 2001).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and </w:t>
      </w:r>
      <w:proofErr w:type="spellStart"/>
      <w:r w:rsidRPr="00D1383A">
        <w:rPr>
          <w:i/>
          <w:szCs w:val="24"/>
        </w:rPr>
        <w:t>Equity</w:t>
      </w:r>
      <w:proofErr w:type="spellEnd"/>
      <w:r w:rsidRPr="00D1383A">
        <w:rPr>
          <w:i/>
          <w:szCs w:val="24"/>
        </w:rPr>
        <w:t xml:space="preserve"> </w:t>
      </w:r>
      <w:proofErr w:type="spellStart"/>
      <w:r w:rsidRPr="00D1383A">
        <w:rPr>
          <w:i/>
          <w:szCs w:val="24"/>
        </w:rPr>
        <w:t>prices</w:t>
      </w:r>
      <w:proofErr w:type="spellEnd"/>
      <w:r w:rsidRPr="00D1383A">
        <w:rPr>
          <w:i/>
          <w:szCs w:val="24"/>
        </w:rPr>
        <w:t xml:space="preserve">. </w:t>
      </w:r>
      <w:proofErr w:type="spellStart"/>
      <w:r w:rsidRPr="00D1383A">
        <w:rPr>
          <w:i/>
          <w:szCs w:val="24"/>
        </w:rPr>
        <w:t>Quarterly</w:t>
      </w:r>
      <w:proofErr w:type="spellEnd"/>
      <w:r w:rsidRPr="00D1383A">
        <w:rPr>
          <w:i/>
          <w:szCs w:val="24"/>
        </w:rPr>
        <w:t xml:space="preserve"> </w:t>
      </w:r>
      <w:proofErr w:type="spellStart"/>
      <w:r w:rsidRPr="00D1383A">
        <w:rPr>
          <w:i/>
          <w:szCs w:val="24"/>
        </w:rPr>
        <w:t>Journal</w:t>
      </w:r>
      <w:proofErr w:type="spellEnd"/>
      <w:r w:rsidRPr="00D1383A">
        <w:rPr>
          <w:i/>
          <w:szCs w:val="24"/>
        </w:rPr>
        <w:t xml:space="preserve"> of </w:t>
      </w:r>
      <w:proofErr w:type="spellStart"/>
      <w:r w:rsidRPr="00D1383A">
        <w:rPr>
          <w:i/>
          <w:szCs w:val="24"/>
        </w:rPr>
        <w:t>Economics</w:t>
      </w:r>
      <w:proofErr w:type="spellEnd"/>
      <w:r w:rsidRPr="00D1383A">
        <w:rPr>
          <w:i/>
          <w:szCs w:val="24"/>
        </w:rPr>
        <w:t>, 118(1), 107-155.</w:t>
      </w:r>
    </w:p>
    <w:p w:rsidR="00FF71CD" w:rsidRPr="00D1383A" w:rsidRDefault="00DA20EC" w:rsidP="00D1383A">
      <w:pPr>
        <w:spacing w:afterLines="40" w:after="96"/>
        <w:ind w:left="284" w:hanging="284"/>
        <w:rPr>
          <w:rFonts w:eastAsia="Times New Roman"/>
          <w:i/>
          <w:color w:val="222222"/>
          <w:szCs w:val="24"/>
          <w:lang w:eastAsia="es-PE"/>
        </w:rPr>
      </w:pPr>
      <w:r w:rsidRPr="00D1383A">
        <w:rPr>
          <w:rFonts w:eastAsia="Times New Roman"/>
          <w:i/>
          <w:color w:val="222222"/>
          <w:szCs w:val="24"/>
          <w:lang w:eastAsia="es-PE"/>
        </w:rPr>
        <w:t xml:space="preserve">González, J. S., &amp; García-Meca, E. (2014). </w:t>
      </w:r>
      <w:proofErr w:type="spellStart"/>
      <w:r w:rsidRPr="00D1383A">
        <w:rPr>
          <w:rFonts w:eastAsia="Times New Roman"/>
          <w:i/>
          <w:color w:val="222222"/>
          <w:szCs w:val="24"/>
          <w:lang w:eastAsia="es-PE"/>
        </w:rPr>
        <w:t>Does</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corporate</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governance</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influence</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earnings</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management</w:t>
      </w:r>
      <w:proofErr w:type="spellEnd"/>
      <w:r w:rsidRPr="00D1383A">
        <w:rPr>
          <w:rFonts w:eastAsia="Times New Roman"/>
          <w:i/>
          <w:color w:val="222222"/>
          <w:szCs w:val="24"/>
          <w:lang w:eastAsia="es-PE"/>
        </w:rPr>
        <w:t xml:space="preserve"> in </w:t>
      </w:r>
      <w:proofErr w:type="spellStart"/>
      <w:r w:rsidRPr="00D1383A">
        <w:rPr>
          <w:rFonts w:eastAsia="Times New Roman"/>
          <w:i/>
          <w:color w:val="222222"/>
          <w:szCs w:val="24"/>
          <w:lang w:eastAsia="es-PE"/>
        </w:rPr>
        <w:t>Latin</w:t>
      </w:r>
      <w:proofErr w:type="spellEnd"/>
      <w:r w:rsidRPr="00D1383A">
        <w:rPr>
          <w:rFonts w:eastAsia="Times New Roman"/>
          <w:i/>
          <w:color w:val="222222"/>
          <w:szCs w:val="24"/>
          <w:lang w:eastAsia="es-PE"/>
        </w:rPr>
        <w:t xml:space="preserve"> American </w:t>
      </w:r>
      <w:proofErr w:type="spellStart"/>
      <w:r w:rsidRPr="00D1383A">
        <w:rPr>
          <w:rFonts w:eastAsia="Times New Roman"/>
          <w:i/>
          <w:color w:val="222222"/>
          <w:szCs w:val="24"/>
          <w:lang w:eastAsia="es-PE"/>
        </w:rPr>
        <w:t>markets</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Journal</w:t>
      </w:r>
      <w:proofErr w:type="spellEnd"/>
      <w:r w:rsidRPr="00D1383A">
        <w:rPr>
          <w:rFonts w:eastAsia="Times New Roman"/>
          <w:i/>
          <w:color w:val="222222"/>
          <w:szCs w:val="24"/>
          <w:lang w:eastAsia="es-PE"/>
        </w:rPr>
        <w:t xml:space="preserve"> of Business </w:t>
      </w:r>
      <w:proofErr w:type="spellStart"/>
      <w:r w:rsidRPr="00D1383A">
        <w:rPr>
          <w:rFonts w:eastAsia="Times New Roman"/>
          <w:i/>
          <w:color w:val="222222"/>
          <w:szCs w:val="24"/>
          <w:lang w:eastAsia="es-PE"/>
        </w:rPr>
        <w:t>Ethics</w:t>
      </w:r>
      <w:proofErr w:type="spellEnd"/>
      <w:r w:rsidRPr="00D1383A">
        <w:rPr>
          <w:rFonts w:eastAsia="Times New Roman"/>
          <w:i/>
          <w:color w:val="222222"/>
          <w:szCs w:val="24"/>
          <w:lang w:eastAsia="es-PE"/>
        </w:rPr>
        <w:t>, 121(3), 419-440.</w:t>
      </w:r>
      <w:r w:rsidR="00FF71CD" w:rsidRPr="00D1383A">
        <w:rPr>
          <w:rFonts w:eastAsia="Times New Roman"/>
          <w:i/>
          <w:color w:val="222222"/>
          <w:szCs w:val="24"/>
          <w:lang w:eastAsia="es-PE"/>
        </w:rPr>
        <w:t xml:space="preserve"> </w:t>
      </w:r>
    </w:p>
    <w:p w:rsidR="00254F49" w:rsidRPr="00D1383A" w:rsidRDefault="00FF71CD" w:rsidP="00D1383A">
      <w:pPr>
        <w:spacing w:afterLines="40" w:after="96"/>
        <w:ind w:left="284" w:hanging="284"/>
        <w:rPr>
          <w:i/>
          <w:szCs w:val="24"/>
        </w:rPr>
      </w:pPr>
      <w:proofErr w:type="spellStart"/>
      <w:r w:rsidRPr="00D1383A">
        <w:rPr>
          <w:rFonts w:eastAsia="Times New Roman"/>
          <w:i/>
          <w:color w:val="222222"/>
          <w:szCs w:val="24"/>
          <w:lang w:eastAsia="es-PE"/>
        </w:rPr>
        <w:t>Goyal</w:t>
      </w:r>
      <w:proofErr w:type="spellEnd"/>
      <w:r w:rsidRPr="00D1383A">
        <w:rPr>
          <w:rFonts w:eastAsia="Times New Roman"/>
          <w:i/>
          <w:color w:val="222222"/>
          <w:szCs w:val="24"/>
          <w:lang w:eastAsia="es-PE"/>
        </w:rPr>
        <w:t xml:space="preserve">, A.M. (2013). </w:t>
      </w:r>
      <w:proofErr w:type="spellStart"/>
      <w:r w:rsidRPr="00D1383A">
        <w:rPr>
          <w:rFonts w:eastAsia="Times New Roman"/>
          <w:i/>
          <w:color w:val="222222"/>
          <w:szCs w:val="24"/>
          <w:lang w:eastAsia="es-PE"/>
        </w:rPr>
        <w:t>Impact</w:t>
      </w:r>
      <w:proofErr w:type="spellEnd"/>
      <w:r w:rsidRPr="00D1383A">
        <w:rPr>
          <w:rFonts w:eastAsia="Times New Roman"/>
          <w:i/>
          <w:color w:val="222222"/>
          <w:szCs w:val="24"/>
          <w:lang w:eastAsia="es-PE"/>
        </w:rPr>
        <w:t xml:space="preserve"> of capital </w:t>
      </w:r>
      <w:proofErr w:type="spellStart"/>
      <w:r w:rsidRPr="00D1383A">
        <w:rPr>
          <w:rFonts w:eastAsia="Times New Roman"/>
          <w:i/>
          <w:color w:val="222222"/>
          <w:szCs w:val="24"/>
          <w:lang w:eastAsia="es-PE"/>
        </w:rPr>
        <w:t>structure</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on</w:t>
      </w:r>
      <w:proofErr w:type="spellEnd"/>
      <w:r w:rsidRPr="00D1383A">
        <w:rPr>
          <w:rFonts w:eastAsia="Times New Roman"/>
          <w:i/>
          <w:color w:val="222222"/>
          <w:szCs w:val="24"/>
          <w:lang w:eastAsia="es-PE"/>
        </w:rPr>
        <w:t xml:space="preserve"> performance of </w:t>
      </w:r>
      <w:proofErr w:type="spellStart"/>
      <w:r w:rsidRPr="00D1383A">
        <w:rPr>
          <w:rFonts w:eastAsia="Times New Roman"/>
          <w:i/>
          <w:color w:val="222222"/>
          <w:szCs w:val="24"/>
          <w:lang w:eastAsia="es-PE"/>
        </w:rPr>
        <w:t>listed</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public</w:t>
      </w:r>
      <w:proofErr w:type="spellEnd"/>
      <w:r w:rsidRPr="00D1383A">
        <w:rPr>
          <w:rFonts w:eastAsia="Times New Roman"/>
          <w:i/>
          <w:color w:val="222222"/>
          <w:szCs w:val="24"/>
          <w:lang w:eastAsia="es-PE"/>
        </w:rPr>
        <w:t xml:space="preserve"> sector </w:t>
      </w:r>
      <w:proofErr w:type="spellStart"/>
      <w:r w:rsidRPr="00D1383A">
        <w:rPr>
          <w:rFonts w:eastAsia="Times New Roman"/>
          <w:i/>
          <w:color w:val="222222"/>
          <w:szCs w:val="24"/>
          <w:lang w:eastAsia="es-PE"/>
        </w:rPr>
        <w:t>banks</w:t>
      </w:r>
      <w:proofErr w:type="spellEnd"/>
      <w:r w:rsidRPr="00D1383A">
        <w:rPr>
          <w:rFonts w:eastAsia="Times New Roman"/>
          <w:i/>
          <w:color w:val="222222"/>
          <w:szCs w:val="24"/>
          <w:lang w:eastAsia="es-PE"/>
        </w:rPr>
        <w:t xml:space="preserve"> in India. International </w:t>
      </w:r>
      <w:proofErr w:type="spellStart"/>
      <w:r w:rsidRPr="00D1383A">
        <w:rPr>
          <w:rFonts w:eastAsia="Times New Roman"/>
          <w:i/>
          <w:color w:val="222222"/>
          <w:szCs w:val="24"/>
          <w:lang w:eastAsia="es-PE"/>
        </w:rPr>
        <w:t>Journal</w:t>
      </w:r>
      <w:proofErr w:type="spellEnd"/>
      <w:r w:rsidRPr="00D1383A">
        <w:rPr>
          <w:rFonts w:eastAsia="Times New Roman"/>
          <w:i/>
          <w:color w:val="222222"/>
          <w:szCs w:val="24"/>
          <w:lang w:eastAsia="es-PE"/>
        </w:rPr>
        <w:t xml:space="preserve"> of Business and Management </w:t>
      </w:r>
      <w:proofErr w:type="spellStart"/>
      <w:r w:rsidRPr="00D1383A">
        <w:rPr>
          <w:rFonts w:eastAsia="Times New Roman"/>
          <w:i/>
          <w:color w:val="222222"/>
          <w:szCs w:val="24"/>
          <w:lang w:eastAsia="es-PE"/>
        </w:rPr>
        <w:t>Invention</w:t>
      </w:r>
      <w:proofErr w:type="spellEnd"/>
      <w:r w:rsidRPr="00D1383A">
        <w:rPr>
          <w:rFonts w:eastAsia="Times New Roman"/>
          <w:i/>
          <w:color w:val="222222"/>
          <w:szCs w:val="24"/>
          <w:lang w:eastAsia="es-PE"/>
        </w:rPr>
        <w:t>, 2(10), 35–43.</w:t>
      </w:r>
    </w:p>
    <w:p w:rsidR="00254F49" w:rsidRPr="00D1383A" w:rsidRDefault="00254F49" w:rsidP="00D1383A">
      <w:pPr>
        <w:spacing w:afterLines="40" w:after="96"/>
        <w:ind w:left="284" w:hanging="284"/>
        <w:rPr>
          <w:rFonts w:eastAsia="Times New Roman"/>
          <w:i/>
          <w:color w:val="222222"/>
          <w:szCs w:val="24"/>
          <w:lang w:eastAsia="es-PE"/>
        </w:rPr>
      </w:pPr>
      <w:proofErr w:type="spellStart"/>
      <w:r w:rsidRPr="00D1383A">
        <w:rPr>
          <w:rFonts w:eastAsia="Times New Roman"/>
          <w:i/>
          <w:color w:val="222222"/>
          <w:szCs w:val="24"/>
          <w:lang w:eastAsia="es-PE"/>
        </w:rPr>
        <w:t>Gunny</w:t>
      </w:r>
      <w:proofErr w:type="spellEnd"/>
      <w:r w:rsidRPr="00D1383A">
        <w:rPr>
          <w:rFonts w:eastAsia="Times New Roman"/>
          <w:i/>
          <w:color w:val="222222"/>
          <w:szCs w:val="24"/>
          <w:lang w:eastAsia="es-PE"/>
        </w:rPr>
        <w:t xml:space="preserve">, K. A. (2010). </w:t>
      </w:r>
      <w:proofErr w:type="spellStart"/>
      <w:r w:rsidRPr="00D1383A">
        <w:rPr>
          <w:rFonts w:eastAsia="Times New Roman"/>
          <w:i/>
          <w:color w:val="222222"/>
          <w:szCs w:val="24"/>
          <w:lang w:eastAsia="es-PE"/>
        </w:rPr>
        <w:t>The</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relation</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between</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earnings</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management</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using</w:t>
      </w:r>
      <w:proofErr w:type="spellEnd"/>
      <w:r w:rsidRPr="00D1383A">
        <w:rPr>
          <w:rFonts w:eastAsia="Times New Roman"/>
          <w:i/>
          <w:color w:val="222222"/>
          <w:szCs w:val="24"/>
          <w:lang w:eastAsia="es-PE"/>
        </w:rPr>
        <w:t xml:space="preserve"> real </w:t>
      </w:r>
      <w:proofErr w:type="spellStart"/>
      <w:r w:rsidRPr="00D1383A">
        <w:rPr>
          <w:rFonts w:eastAsia="Times New Roman"/>
          <w:i/>
          <w:color w:val="222222"/>
          <w:szCs w:val="24"/>
          <w:lang w:eastAsia="es-PE"/>
        </w:rPr>
        <w:t>activities</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manipulation</w:t>
      </w:r>
      <w:proofErr w:type="spellEnd"/>
      <w:r w:rsidRPr="00D1383A">
        <w:rPr>
          <w:rFonts w:eastAsia="Times New Roman"/>
          <w:i/>
          <w:color w:val="222222"/>
          <w:szCs w:val="24"/>
          <w:lang w:eastAsia="es-PE"/>
        </w:rPr>
        <w:t xml:space="preserve"> and </w:t>
      </w:r>
      <w:proofErr w:type="spellStart"/>
      <w:r w:rsidRPr="00D1383A">
        <w:rPr>
          <w:rFonts w:eastAsia="Times New Roman"/>
          <w:i/>
          <w:color w:val="222222"/>
          <w:szCs w:val="24"/>
          <w:lang w:eastAsia="es-PE"/>
        </w:rPr>
        <w:t>future</w:t>
      </w:r>
      <w:proofErr w:type="spellEnd"/>
      <w:r w:rsidRPr="00D1383A">
        <w:rPr>
          <w:rFonts w:eastAsia="Times New Roman"/>
          <w:i/>
          <w:color w:val="222222"/>
          <w:szCs w:val="24"/>
          <w:lang w:eastAsia="es-PE"/>
        </w:rPr>
        <w:t xml:space="preserve"> performance: </w:t>
      </w:r>
      <w:proofErr w:type="spellStart"/>
      <w:r w:rsidRPr="00D1383A">
        <w:rPr>
          <w:rFonts w:eastAsia="Times New Roman"/>
          <w:i/>
          <w:color w:val="222222"/>
          <w:szCs w:val="24"/>
          <w:lang w:eastAsia="es-PE"/>
        </w:rPr>
        <w:t>Evidence</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from</w:t>
      </w:r>
      <w:proofErr w:type="spellEnd"/>
      <w:r w:rsidRPr="00D1383A">
        <w:rPr>
          <w:rFonts w:eastAsia="Times New Roman"/>
          <w:i/>
          <w:color w:val="222222"/>
          <w:szCs w:val="24"/>
          <w:lang w:eastAsia="es-PE"/>
        </w:rPr>
        <w:t xml:space="preserve"> meeting </w:t>
      </w:r>
      <w:proofErr w:type="spellStart"/>
      <w:r w:rsidRPr="00D1383A">
        <w:rPr>
          <w:rFonts w:eastAsia="Times New Roman"/>
          <w:i/>
          <w:color w:val="222222"/>
          <w:szCs w:val="24"/>
          <w:lang w:eastAsia="es-PE"/>
        </w:rPr>
        <w:t>earnings</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benchmarks</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Contemporary</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Accounting</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Research</w:t>
      </w:r>
      <w:proofErr w:type="spellEnd"/>
      <w:r w:rsidRPr="00D1383A">
        <w:rPr>
          <w:rFonts w:eastAsia="Times New Roman"/>
          <w:i/>
          <w:color w:val="222222"/>
          <w:szCs w:val="24"/>
          <w:lang w:eastAsia="es-PE"/>
        </w:rPr>
        <w:t>, 27(3), 855-888.</w:t>
      </w:r>
    </w:p>
    <w:p w:rsidR="00254F49" w:rsidRPr="00D1383A" w:rsidRDefault="00445B75" w:rsidP="00D1383A">
      <w:pPr>
        <w:spacing w:afterLines="40" w:after="96"/>
        <w:ind w:left="284" w:hanging="284"/>
        <w:rPr>
          <w:i/>
          <w:szCs w:val="24"/>
        </w:rPr>
      </w:pPr>
      <w:r w:rsidRPr="00D1383A">
        <w:rPr>
          <w:i/>
          <w:szCs w:val="24"/>
        </w:rPr>
        <w:lastRenderedPageBreak/>
        <w:t xml:space="preserve">Hutchinson, M., </w:t>
      </w:r>
      <w:proofErr w:type="spellStart"/>
      <w:r w:rsidRPr="00D1383A">
        <w:rPr>
          <w:i/>
          <w:szCs w:val="24"/>
        </w:rPr>
        <w:t>Seamer</w:t>
      </w:r>
      <w:proofErr w:type="spellEnd"/>
      <w:r w:rsidRPr="00D1383A">
        <w:rPr>
          <w:i/>
          <w:szCs w:val="24"/>
        </w:rPr>
        <w:t xml:space="preserve">, M. y </w:t>
      </w:r>
      <w:proofErr w:type="spellStart"/>
      <w:r w:rsidRPr="00D1383A">
        <w:rPr>
          <w:i/>
          <w:szCs w:val="24"/>
        </w:rPr>
        <w:t>Chapple</w:t>
      </w:r>
      <w:proofErr w:type="spellEnd"/>
      <w:r w:rsidRPr="00D1383A">
        <w:rPr>
          <w:i/>
          <w:szCs w:val="24"/>
        </w:rPr>
        <w:t xml:space="preserve">, L. (enero de 2015). </w:t>
      </w:r>
      <w:proofErr w:type="spellStart"/>
      <w:r w:rsidRPr="00D1383A">
        <w:rPr>
          <w:i/>
          <w:szCs w:val="24"/>
        </w:rPr>
        <w:t>Institutional</w:t>
      </w:r>
      <w:proofErr w:type="spellEnd"/>
      <w:r w:rsidRPr="00D1383A">
        <w:rPr>
          <w:i/>
          <w:szCs w:val="24"/>
        </w:rPr>
        <w:t xml:space="preserve"> </w:t>
      </w:r>
      <w:proofErr w:type="spellStart"/>
      <w:r w:rsidRPr="00D1383A">
        <w:rPr>
          <w:i/>
          <w:szCs w:val="24"/>
        </w:rPr>
        <w:t>Investors</w:t>
      </w:r>
      <w:proofErr w:type="spellEnd"/>
      <w:r w:rsidRPr="00D1383A">
        <w:rPr>
          <w:i/>
          <w:szCs w:val="24"/>
        </w:rPr>
        <w:t xml:space="preserve">, </w:t>
      </w:r>
      <w:proofErr w:type="spellStart"/>
      <w:r w:rsidRPr="00D1383A">
        <w:rPr>
          <w:i/>
          <w:szCs w:val="24"/>
        </w:rPr>
        <w:t>Risk</w:t>
      </w:r>
      <w:proofErr w:type="spellEnd"/>
      <w:r w:rsidRPr="00D1383A">
        <w:rPr>
          <w:i/>
          <w:szCs w:val="24"/>
        </w:rPr>
        <w:t xml:space="preserve">/Performance and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w:t>
      </w:r>
      <w:r w:rsidR="008F5F81" w:rsidRPr="00D1383A">
        <w:rPr>
          <w:i/>
          <w:szCs w:val="24"/>
        </w:rPr>
        <w:t xml:space="preserve"> </w:t>
      </w:r>
      <w:proofErr w:type="spellStart"/>
      <w:r w:rsidR="008F5F81" w:rsidRPr="00D1383A">
        <w:rPr>
          <w:i/>
          <w:szCs w:val="24"/>
        </w:rPr>
        <w:t>The</w:t>
      </w:r>
      <w:proofErr w:type="spellEnd"/>
      <w:r w:rsidR="008F5F81" w:rsidRPr="00D1383A">
        <w:rPr>
          <w:i/>
          <w:szCs w:val="24"/>
        </w:rPr>
        <w:t xml:space="preserve"> International </w:t>
      </w:r>
      <w:proofErr w:type="spellStart"/>
      <w:r w:rsidR="008F5F81" w:rsidRPr="00D1383A">
        <w:rPr>
          <w:i/>
          <w:szCs w:val="24"/>
        </w:rPr>
        <w:t>Journal</w:t>
      </w:r>
      <w:proofErr w:type="spellEnd"/>
      <w:r w:rsidR="008F5F81" w:rsidRPr="00D1383A">
        <w:rPr>
          <w:i/>
          <w:szCs w:val="24"/>
        </w:rPr>
        <w:t xml:space="preserve"> of </w:t>
      </w:r>
      <w:proofErr w:type="spellStart"/>
      <w:r w:rsidR="008F5F81" w:rsidRPr="00D1383A">
        <w:rPr>
          <w:i/>
          <w:szCs w:val="24"/>
        </w:rPr>
        <w:t>Accouting</w:t>
      </w:r>
      <w:proofErr w:type="spellEnd"/>
      <w:r w:rsidR="008F5F81" w:rsidRPr="00D1383A">
        <w:rPr>
          <w:i/>
          <w:szCs w:val="24"/>
        </w:rPr>
        <w:t xml:space="preserve">, 50(2015), 31-52. </w:t>
      </w:r>
    </w:p>
    <w:p w:rsidR="00771A41" w:rsidRPr="00D1383A" w:rsidRDefault="009C2C8B" w:rsidP="00D1383A">
      <w:pPr>
        <w:spacing w:afterLines="40" w:after="96"/>
        <w:ind w:left="284" w:hanging="284"/>
        <w:rPr>
          <w:i/>
          <w:szCs w:val="24"/>
        </w:rPr>
      </w:pPr>
      <w:r w:rsidRPr="00D1383A">
        <w:rPr>
          <w:i/>
          <w:szCs w:val="24"/>
        </w:rPr>
        <w:t xml:space="preserve">International </w:t>
      </w:r>
      <w:proofErr w:type="spellStart"/>
      <w:r w:rsidRPr="00D1383A">
        <w:rPr>
          <w:i/>
          <w:szCs w:val="24"/>
        </w:rPr>
        <w:t>Finance</w:t>
      </w:r>
      <w:proofErr w:type="spellEnd"/>
      <w:r w:rsidRPr="00D1383A">
        <w:rPr>
          <w:i/>
          <w:szCs w:val="24"/>
        </w:rPr>
        <w:t xml:space="preserve"> </w:t>
      </w:r>
      <w:proofErr w:type="spellStart"/>
      <w:r w:rsidRPr="00D1383A">
        <w:rPr>
          <w:i/>
          <w:szCs w:val="24"/>
        </w:rPr>
        <w:t>Corporation</w:t>
      </w:r>
      <w:proofErr w:type="spellEnd"/>
      <w:r w:rsidRPr="00D1383A">
        <w:rPr>
          <w:i/>
          <w:szCs w:val="24"/>
        </w:rPr>
        <w:t xml:space="preserve"> [IFC] (marzo de 2014). Gobierno Corporativo. Recuperado de https://www.ifc.org/wps/wcm/connect/994fb9804366581ab32ab3d3e9bda932/CG_Fact_Sheet_Dominican_Republic_SPANISH_March2014.pdf</w:t>
      </w:r>
      <w:r w:rsidR="00771A41" w:rsidRPr="00D1383A">
        <w:rPr>
          <w:i/>
          <w:szCs w:val="24"/>
        </w:rPr>
        <w:t xml:space="preserve"> </w:t>
      </w:r>
    </w:p>
    <w:p w:rsidR="00771A41" w:rsidRPr="00D1383A" w:rsidRDefault="00DA20EC" w:rsidP="00D1383A">
      <w:pPr>
        <w:spacing w:afterLines="40" w:after="96"/>
        <w:ind w:left="284" w:hanging="284"/>
        <w:rPr>
          <w:i/>
          <w:szCs w:val="24"/>
        </w:rPr>
      </w:pPr>
      <w:r w:rsidRPr="00D1383A">
        <w:rPr>
          <w:rFonts w:eastAsia="Times New Roman"/>
          <w:i/>
          <w:color w:val="222222"/>
          <w:szCs w:val="24"/>
          <w:lang w:eastAsia="es-PE"/>
        </w:rPr>
        <w:t xml:space="preserve">Jensen, M. C., y </w:t>
      </w:r>
      <w:proofErr w:type="spellStart"/>
      <w:r w:rsidRPr="00D1383A">
        <w:rPr>
          <w:rFonts w:eastAsia="Times New Roman"/>
          <w:i/>
          <w:color w:val="222222"/>
          <w:szCs w:val="24"/>
          <w:lang w:eastAsia="es-PE"/>
        </w:rPr>
        <w:t>Meckling</w:t>
      </w:r>
      <w:proofErr w:type="spellEnd"/>
      <w:r w:rsidRPr="00D1383A">
        <w:rPr>
          <w:rFonts w:eastAsia="Times New Roman"/>
          <w:i/>
          <w:color w:val="222222"/>
          <w:szCs w:val="24"/>
          <w:lang w:eastAsia="es-PE"/>
        </w:rPr>
        <w:t xml:space="preserve">, W. H. (1976). </w:t>
      </w:r>
      <w:proofErr w:type="spellStart"/>
      <w:r w:rsidRPr="00D1383A">
        <w:rPr>
          <w:rFonts w:eastAsia="Times New Roman"/>
          <w:i/>
          <w:color w:val="222222"/>
          <w:szCs w:val="24"/>
          <w:lang w:eastAsia="es-PE"/>
        </w:rPr>
        <w:t>Theory</w:t>
      </w:r>
      <w:proofErr w:type="spellEnd"/>
      <w:r w:rsidRPr="00D1383A">
        <w:rPr>
          <w:rFonts w:eastAsia="Times New Roman"/>
          <w:i/>
          <w:color w:val="222222"/>
          <w:szCs w:val="24"/>
          <w:lang w:eastAsia="es-PE"/>
        </w:rPr>
        <w:t xml:space="preserve"> of </w:t>
      </w:r>
      <w:proofErr w:type="spellStart"/>
      <w:r w:rsidRPr="00D1383A">
        <w:rPr>
          <w:rFonts w:eastAsia="Times New Roman"/>
          <w:i/>
          <w:color w:val="222222"/>
          <w:szCs w:val="24"/>
          <w:lang w:eastAsia="es-PE"/>
        </w:rPr>
        <w:t>the</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firm</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Managerial</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behavior</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agency</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costs</w:t>
      </w:r>
      <w:proofErr w:type="spellEnd"/>
      <w:r w:rsidRPr="00D1383A">
        <w:rPr>
          <w:rFonts w:eastAsia="Times New Roman"/>
          <w:i/>
          <w:color w:val="222222"/>
          <w:szCs w:val="24"/>
          <w:lang w:eastAsia="es-PE"/>
        </w:rPr>
        <w:t xml:space="preserve"> and </w:t>
      </w:r>
      <w:proofErr w:type="spellStart"/>
      <w:r w:rsidRPr="00D1383A">
        <w:rPr>
          <w:rFonts w:eastAsia="Times New Roman"/>
          <w:i/>
          <w:color w:val="222222"/>
          <w:szCs w:val="24"/>
          <w:lang w:eastAsia="es-PE"/>
        </w:rPr>
        <w:t>ownership</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structure</w:t>
      </w:r>
      <w:proofErr w:type="spellEnd"/>
      <w:r w:rsidRPr="00D1383A">
        <w:rPr>
          <w:rFonts w:eastAsia="Times New Roman"/>
          <w:i/>
          <w:color w:val="222222"/>
          <w:szCs w:val="24"/>
          <w:lang w:eastAsia="es-PE"/>
        </w:rPr>
        <w:t>. </w:t>
      </w:r>
      <w:proofErr w:type="spellStart"/>
      <w:r w:rsidRPr="00D1383A">
        <w:rPr>
          <w:rFonts w:eastAsia="Times New Roman"/>
          <w:i/>
          <w:color w:val="222222"/>
          <w:szCs w:val="24"/>
          <w:lang w:eastAsia="es-PE"/>
        </w:rPr>
        <w:t>Journal</w:t>
      </w:r>
      <w:proofErr w:type="spellEnd"/>
      <w:r w:rsidRPr="00D1383A">
        <w:rPr>
          <w:rFonts w:eastAsia="Times New Roman"/>
          <w:i/>
          <w:color w:val="222222"/>
          <w:szCs w:val="24"/>
          <w:lang w:eastAsia="es-PE"/>
        </w:rPr>
        <w:t xml:space="preserve"> of </w:t>
      </w:r>
      <w:proofErr w:type="spellStart"/>
      <w:r w:rsidRPr="00D1383A">
        <w:rPr>
          <w:rFonts w:eastAsia="Times New Roman"/>
          <w:i/>
          <w:color w:val="222222"/>
          <w:szCs w:val="24"/>
          <w:lang w:eastAsia="es-PE"/>
        </w:rPr>
        <w:t>financial</w:t>
      </w:r>
      <w:proofErr w:type="spellEnd"/>
      <w:r w:rsidRPr="00D1383A">
        <w:rPr>
          <w:rFonts w:eastAsia="Times New Roman"/>
          <w:i/>
          <w:color w:val="222222"/>
          <w:szCs w:val="24"/>
          <w:lang w:eastAsia="es-PE"/>
        </w:rPr>
        <w:t xml:space="preserve"> </w:t>
      </w:r>
      <w:proofErr w:type="spellStart"/>
      <w:r w:rsidRPr="00D1383A">
        <w:rPr>
          <w:rFonts w:eastAsia="Times New Roman"/>
          <w:i/>
          <w:color w:val="222222"/>
          <w:szCs w:val="24"/>
          <w:lang w:eastAsia="es-PE"/>
        </w:rPr>
        <w:t>economics</w:t>
      </w:r>
      <w:proofErr w:type="spellEnd"/>
      <w:r w:rsidRPr="00D1383A">
        <w:rPr>
          <w:rFonts w:eastAsia="Times New Roman"/>
          <w:i/>
          <w:color w:val="222222"/>
          <w:szCs w:val="24"/>
          <w:lang w:eastAsia="es-PE"/>
        </w:rPr>
        <w:t>, 3(4), 305-360</w:t>
      </w:r>
      <w:r w:rsidR="00771A41" w:rsidRPr="00D1383A">
        <w:rPr>
          <w:rFonts w:eastAsia="Times New Roman"/>
          <w:i/>
          <w:color w:val="222222"/>
          <w:szCs w:val="24"/>
          <w:lang w:eastAsia="es-PE"/>
        </w:rPr>
        <w:t xml:space="preserve">. </w:t>
      </w:r>
    </w:p>
    <w:p w:rsidR="003F4F98" w:rsidRPr="00D1383A" w:rsidRDefault="003F4F98" w:rsidP="00D1383A">
      <w:pPr>
        <w:spacing w:afterLines="40" w:after="96"/>
        <w:ind w:left="284" w:hanging="284"/>
        <w:rPr>
          <w:rFonts w:eastAsia="Times New Roman"/>
          <w:i/>
          <w:color w:val="222222"/>
          <w:szCs w:val="24"/>
          <w:lang w:eastAsia="es-PE"/>
        </w:rPr>
      </w:pPr>
      <w:proofErr w:type="spellStart"/>
      <w:r w:rsidRPr="00D1383A">
        <w:rPr>
          <w:i/>
          <w:szCs w:val="24"/>
        </w:rPr>
        <w:t>Kamau</w:t>
      </w:r>
      <w:proofErr w:type="spellEnd"/>
      <w:r w:rsidRPr="00D1383A">
        <w:rPr>
          <w:i/>
          <w:szCs w:val="24"/>
        </w:rPr>
        <w:t xml:space="preserve">, G., </w:t>
      </w:r>
      <w:proofErr w:type="spellStart"/>
      <w:r w:rsidRPr="00D1383A">
        <w:rPr>
          <w:i/>
          <w:szCs w:val="24"/>
        </w:rPr>
        <w:t>Machuki</w:t>
      </w:r>
      <w:proofErr w:type="spellEnd"/>
      <w:r w:rsidRPr="00D1383A">
        <w:rPr>
          <w:i/>
          <w:szCs w:val="24"/>
        </w:rPr>
        <w:t xml:space="preserve">, V. Y </w:t>
      </w:r>
      <w:proofErr w:type="spellStart"/>
      <w:r w:rsidRPr="00D1383A">
        <w:rPr>
          <w:i/>
          <w:szCs w:val="24"/>
        </w:rPr>
        <w:t>Aosa</w:t>
      </w:r>
      <w:proofErr w:type="spellEnd"/>
      <w:r w:rsidRPr="00D1383A">
        <w:rPr>
          <w:i/>
          <w:szCs w:val="24"/>
        </w:rPr>
        <w:t xml:space="preserve">, E. (2018).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and Performance of </w:t>
      </w:r>
      <w:proofErr w:type="spellStart"/>
      <w:r w:rsidRPr="00D1383A">
        <w:rPr>
          <w:i/>
          <w:szCs w:val="24"/>
        </w:rPr>
        <w:t>Financial</w:t>
      </w:r>
      <w:proofErr w:type="spellEnd"/>
      <w:r w:rsidRPr="00D1383A">
        <w:rPr>
          <w:i/>
          <w:szCs w:val="24"/>
        </w:rPr>
        <w:t xml:space="preserve"> </w:t>
      </w:r>
      <w:proofErr w:type="spellStart"/>
      <w:r w:rsidRPr="00D1383A">
        <w:rPr>
          <w:i/>
          <w:szCs w:val="24"/>
        </w:rPr>
        <w:t>Institutions</w:t>
      </w:r>
      <w:proofErr w:type="spellEnd"/>
      <w:r w:rsidRPr="00D1383A">
        <w:rPr>
          <w:i/>
          <w:szCs w:val="24"/>
        </w:rPr>
        <w:t xml:space="preserve"> in </w:t>
      </w:r>
      <w:proofErr w:type="spellStart"/>
      <w:r w:rsidRPr="00D1383A">
        <w:rPr>
          <w:i/>
          <w:szCs w:val="24"/>
        </w:rPr>
        <w:t>Kenya</w:t>
      </w:r>
      <w:proofErr w:type="spellEnd"/>
      <w:r w:rsidRPr="00D1383A">
        <w:rPr>
          <w:i/>
          <w:szCs w:val="24"/>
        </w:rPr>
        <w:t xml:space="preserve">. </w:t>
      </w:r>
      <w:proofErr w:type="spellStart"/>
      <w:r w:rsidRPr="00D1383A">
        <w:rPr>
          <w:i/>
          <w:szCs w:val="24"/>
        </w:rPr>
        <w:t>Academy</w:t>
      </w:r>
      <w:proofErr w:type="spellEnd"/>
      <w:r w:rsidRPr="00D1383A">
        <w:rPr>
          <w:i/>
          <w:szCs w:val="24"/>
        </w:rPr>
        <w:t xml:space="preserve"> of </w:t>
      </w:r>
      <w:proofErr w:type="spellStart"/>
      <w:r w:rsidRPr="00D1383A">
        <w:rPr>
          <w:i/>
          <w:szCs w:val="24"/>
        </w:rPr>
        <w:t>Strategic</w:t>
      </w:r>
      <w:proofErr w:type="spellEnd"/>
      <w:r w:rsidRPr="00D1383A">
        <w:rPr>
          <w:i/>
          <w:szCs w:val="24"/>
        </w:rPr>
        <w:t xml:space="preserve"> Management </w:t>
      </w:r>
      <w:proofErr w:type="spellStart"/>
      <w:r w:rsidRPr="00D1383A">
        <w:rPr>
          <w:i/>
          <w:szCs w:val="24"/>
        </w:rPr>
        <w:t>Journal</w:t>
      </w:r>
      <w:proofErr w:type="spellEnd"/>
      <w:r w:rsidRPr="00D1383A">
        <w:rPr>
          <w:i/>
          <w:szCs w:val="24"/>
        </w:rPr>
        <w:t xml:space="preserve">, 17(1), 1-13. </w:t>
      </w:r>
    </w:p>
    <w:p w:rsidR="00CA58D6" w:rsidRPr="00D1383A" w:rsidRDefault="00CA58D6" w:rsidP="00D1383A">
      <w:pPr>
        <w:spacing w:afterLines="40" w:after="96"/>
        <w:ind w:left="284" w:hanging="284"/>
        <w:rPr>
          <w:i/>
          <w:szCs w:val="24"/>
        </w:rPr>
      </w:pPr>
      <w:proofErr w:type="spellStart"/>
      <w:r w:rsidRPr="00D1383A">
        <w:rPr>
          <w:i/>
          <w:szCs w:val="24"/>
        </w:rPr>
        <w:t>Kudlawicz</w:t>
      </w:r>
      <w:proofErr w:type="spellEnd"/>
      <w:r w:rsidRPr="00D1383A">
        <w:rPr>
          <w:i/>
          <w:szCs w:val="24"/>
        </w:rPr>
        <w:t xml:space="preserve">, C., </w:t>
      </w:r>
      <w:proofErr w:type="spellStart"/>
      <w:r w:rsidRPr="00D1383A">
        <w:rPr>
          <w:i/>
          <w:szCs w:val="24"/>
        </w:rPr>
        <w:t>Senff</w:t>
      </w:r>
      <w:proofErr w:type="spellEnd"/>
      <w:r w:rsidRPr="00D1383A">
        <w:rPr>
          <w:i/>
          <w:szCs w:val="24"/>
        </w:rPr>
        <w:t xml:space="preserve">, C. O. y Bach, T. M. (julio de 2015). O </w:t>
      </w:r>
      <w:proofErr w:type="spellStart"/>
      <w:r w:rsidRPr="00D1383A">
        <w:rPr>
          <w:i/>
          <w:szCs w:val="24"/>
        </w:rPr>
        <w:t>Desempenho</w:t>
      </w:r>
      <w:proofErr w:type="spellEnd"/>
      <w:r w:rsidRPr="00D1383A">
        <w:rPr>
          <w:i/>
          <w:szCs w:val="24"/>
        </w:rPr>
        <w:t xml:space="preserve"> </w:t>
      </w:r>
      <w:proofErr w:type="spellStart"/>
      <w:r w:rsidRPr="00D1383A">
        <w:rPr>
          <w:i/>
          <w:szCs w:val="24"/>
        </w:rPr>
        <w:t>Econômico</w:t>
      </w:r>
      <w:proofErr w:type="spellEnd"/>
      <w:r w:rsidRPr="00D1383A">
        <w:rPr>
          <w:i/>
          <w:szCs w:val="24"/>
        </w:rPr>
        <w:t xml:space="preserve"> e a </w:t>
      </w:r>
      <w:proofErr w:type="spellStart"/>
      <w:r w:rsidRPr="00D1383A">
        <w:rPr>
          <w:i/>
          <w:szCs w:val="24"/>
        </w:rPr>
        <w:t>Estrutura</w:t>
      </w:r>
      <w:proofErr w:type="spellEnd"/>
      <w:r w:rsidRPr="00D1383A">
        <w:rPr>
          <w:i/>
          <w:szCs w:val="24"/>
        </w:rPr>
        <w:t xml:space="preserve"> de Capital: Empresas Brasileiras a Luz da </w:t>
      </w:r>
      <w:proofErr w:type="spellStart"/>
      <w:r w:rsidRPr="00D1383A">
        <w:rPr>
          <w:i/>
          <w:szCs w:val="24"/>
        </w:rPr>
        <w:t>Fronteira</w:t>
      </w:r>
      <w:proofErr w:type="spellEnd"/>
      <w:r w:rsidRPr="00D1383A">
        <w:rPr>
          <w:i/>
          <w:szCs w:val="24"/>
        </w:rPr>
        <w:t xml:space="preserve"> de </w:t>
      </w:r>
      <w:proofErr w:type="spellStart"/>
      <w:r w:rsidRPr="00D1383A">
        <w:rPr>
          <w:i/>
          <w:szCs w:val="24"/>
        </w:rPr>
        <w:t>Eficiência</w:t>
      </w:r>
      <w:proofErr w:type="spellEnd"/>
      <w:r w:rsidRPr="00D1383A">
        <w:rPr>
          <w:i/>
          <w:szCs w:val="24"/>
        </w:rPr>
        <w:t xml:space="preserve">. </w:t>
      </w:r>
      <w:proofErr w:type="spellStart"/>
      <w:r w:rsidRPr="00D1383A">
        <w:rPr>
          <w:i/>
          <w:szCs w:val="24"/>
        </w:rPr>
        <w:t>Globaliza</w:t>
      </w:r>
      <w:r w:rsidR="00161174" w:rsidRPr="00D1383A">
        <w:rPr>
          <w:i/>
          <w:szCs w:val="24"/>
        </w:rPr>
        <w:t>çao</w:t>
      </w:r>
      <w:proofErr w:type="spellEnd"/>
      <w:r w:rsidR="00161174" w:rsidRPr="00D1383A">
        <w:rPr>
          <w:i/>
          <w:szCs w:val="24"/>
        </w:rPr>
        <w:t xml:space="preserve">, </w:t>
      </w:r>
      <w:proofErr w:type="spellStart"/>
      <w:r w:rsidR="00161174" w:rsidRPr="00D1383A">
        <w:rPr>
          <w:i/>
          <w:szCs w:val="24"/>
        </w:rPr>
        <w:t>Competitividade</w:t>
      </w:r>
      <w:proofErr w:type="spellEnd"/>
      <w:r w:rsidR="00161174" w:rsidRPr="00D1383A">
        <w:rPr>
          <w:i/>
          <w:szCs w:val="24"/>
        </w:rPr>
        <w:t xml:space="preserve"> e </w:t>
      </w:r>
      <w:proofErr w:type="spellStart"/>
      <w:r w:rsidR="00161174" w:rsidRPr="00D1383A">
        <w:rPr>
          <w:i/>
          <w:szCs w:val="24"/>
        </w:rPr>
        <w:t>Governabilidade</w:t>
      </w:r>
      <w:proofErr w:type="spellEnd"/>
      <w:r w:rsidR="00161174" w:rsidRPr="00D1383A">
        <w:rPr>
          <w:i/>
          <w:szCs w:val="24"/>
        </w:rPr>
        <w:t>, 9(3), 40-52.</w:t>
      </w:r>
    </w:p>
    <w:p w:rsidR="00B96989" w:rsidRPr="00D1383A" w:rsidRDefault="00B96989" w:rsidP="00D1383A">
      <w:pPr>
        <w:spacing w:afterLines="40" w:after="96"/>
        <w:ind w:left="284" w:hanging="284"/>
        <w:rPr>
          <w:i/>
          <w:szCs w:val="24"/>
        </w:rPr>
      </w:pPr>
      <w:r w:rsidRPr="00D1383A">
        <w:rPr>
          <w:i/>
          <w:szCs w:val="24"/>
        </w:rPr>
        <w:t>Lizarzaburu, E. R., y del Brío, J. (2016). Evolución del sistema financiero peruano y su reputación bajo el índice Merco. Período: 2010-2014. Suma de Negocios, 7(16), 94-112.</w:t>
      </w:r>
    </w:p>
    <w:p w:rsidR="005E2A20" w:rsidRPr="00D1383A" w:rsidRDefault="005E2A20" w:rsidP="00D1383A">
      <w:pPr>
        <w:spacing w:afterLines="40" w:after="96"/>
        <w:ind w:left="284" w:hanging="284"/>
        <w:rPr>
          <w:i/>
          <w:szCs w:val="24"/>
        </w:rPr>
      </w:pPr>
      <w:r w:rsidRPr="00D1383A">
        <w:rPr>
          <w:i/>
          <w:szCs w:val="24"/>
        </w:rPr>
        <w:t xml:space="preserve">Lizarzaburu, E. R. y </w:t>
      </w:r>
      <w:proofErr w:type="spellStart"/>
      <w:r w:rsidRPr="00D1383A">
        <w:rPr>
          <w:i/>
          <w:szCs w:val="24"/>
        </w:rPr>
        <w:t>Burneo</w:t>
      </w:r>
      <w:proofErr w:type="spellEnd"/>
      <w:r w:rsidRPr="00D1383A">
        <w:rPr>
          <w:i/>
          <w:szCs w:val="24"/>
        </w:rPr>
        <w:t xml:space="preserve">, K. (setiembre de 2016). Gobierno Corporativo en Mercados Emergentes: Impacto en la Bolsa de Valores de Lima – BVL. Revista Globalización, Competitividad y Gobernabilidad, 10(3), 57-115. </w:t>
      </w:r>
    </w:p>
    <w:p w:rsidR="005D650F" w:rsidRPr="00D1383A" w:rsidRDefault="005D650F" w:rsidP="00D1383A">
      <w:pPr>
        <w:spacing w:afterLines="40" w:after="96"/>
        <w:ind w:left="284" w:hanging="284"/>
        <w:rPr>
          <w:i/>
          <w:szCs w:val="24"/>
        </w:rPr>
      </w:pPr>
      <w:r w:rsidRPr="00D1383A">
        <w:rPr>
          <w:i/>
          <w:szCs w:val="24"/>
        </w:rPr>
        <w:t xml:space="preserve">Lizarzaburu, E., y Del </w:t>
      </w:r>
      <w:proofErr w:type="spellStart"/>
      <w:r w:rsidRPr="00D1383A">
        <w:rPr>
          <w:i/>
          <w:szCs w:val="24"/>
        </w:rPr>
        <w:t>Brio</w:t>
      </w:r>
      <w:proofErr w:type="spellEnd"/>
      <w:r w:rsidRPr="00D1383A">
        <w:rPr>
          <w:i/>
          <w:szCs w:val="24"/>
        </w:rPr>
        <w:t>, J. (2016). Responsabilidad Social Corporativa y Reputación Corporativa en el sector financiero de países en desarrollo. Revista de Globalización, Competitividad y Gobernabilidad, 10(1), 42.</w:t>
      </w:r>
    </w:p>
    <w:p w:rsidR="009C2C8B" w:rsidRPr="00D1383A" w:rsidRDefault="009C2C8B" w:rsidP="00D1383A">
      <w:pPr>
        <w:spacing w:afterLines="40" w:after="96"/>
        <w:ind w:left="284" w:hanging="284"/>
        <w:rPr>
          <w:i/>
          <w:szCs w:val="24"/>
        </w:rPr>
      </w:pPr>
      <w:r w:rsidRPr="00D1383A">
        <w:rPr>
          <w:i/>
          <w:szCs w:val="24"/>
        </w:rPr>
        <w:t xml:space="preserve">La Porta, R., </w:t>
      </w:r>
      <w:proofErr w:type="spellStart"/>
      <w:r w:rsidRPr="00D1383A">
        <w:rPr>
          <w:i/>
          <w:szCs w:val="24"/>
        </w:rPr>
        <w:t>Lopez</w:t>
      </w:r>
      <w:proofErr w:type="spellEnd"/>
      <w:r w:rsidRPr="00D1383A">
        <w:rPr>
          <w:i/>
          <w:szCs w:val="24"/>
        </w:rPr>
        <w:t>-de-</w:t>
      </w:r>
      <w:proofErr w:type="spellStart"/>
      <w:r w:rsidRPr="00D1383A">
        <w:rPr>
          <w:i/>
          <w:szCs w:val="24"/>
        </w:rPr>
        <w:t>Silanes</w:t>
      </w:r>
      <w:proofErr w:type="spellEnd"/>
      <w:r w:rsidRPr="00D1383A">
        <w:rPr>
          <w:i/>
          <w:szCs w:val="24"/>
        </w:rPr>
        <w:t xml:space="preserve">, F., </w:t>
      </w:r>
      <w:proofErr w:type="spellStart"/>
      <w:r w:rsidRPr="00D1383A">
        <w:rPr>
          <w:i/>
          <w:szCs w:val="24"/>
        </w:rPr>
        <w:t>Shleifer</w:t>
      </w:r>
      <w:proofErr w:type="spellEnd"/>
      <w:r w:rsidRPr="00D1383A">
        <w:rPr>
          <w:i/>
          <w:szCs w:val="24"/>
        </w:rPr>
        <w:t xml:space="preserve">, A. y </w:t>
      </w:r>
      <w:proofErr w:type="spellStart"/>
      <w:r w:rsidRPr="00D1383A">
        <w:rPr>
          <w:i/>
          <w:szCs w:val="24"/>
        </w:rPr>
        <w:t>Vishny</w:t>
      </w:r>
      <w:proofErr w:type="spellEnd"/>
      <w:r w:rsidRPr="00D1383A">
        <w:rPr>
          <w:i/>
          <w:szCs w:val="24"/>
        </w:rPr>
        <w:t xml:space="preserve">, R. (2000). Investor </w:t>
      </w:r>
      <w:proofErr w:type="spellStart"/>
      <w:r w:rsidRPr="00D1383A">
        <w:rPr>
          <w:i/>
          <w:szCs w:val="24"/>
        </w:rPr>
        <w:t>protection</w:t>
      </w:r>
      <w:proofErr w:type="spellEnd"/>
      <w:r w:rsidRPr="00D1383A">
        <w:rPr>
          <w:i/>
          <w:szCs w:val="24"/>
        </w:rPr>
        <w:t xml:space="preserve"> and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w:t>
      </w:r>
      <w:proofErr w:type="spellStart"/>
      <w:r w:rsidRPr="00D1383A">
        <w:rPr>
          <w:i/>
          <w:szCs w:val="24"/>
        </w:rPr>
        <w:t>Journal</w:t>
      </w:r>
      <w:proofErr w:type="spellEnd"/>
      <w:r w:rsidRPr="00D1383A">
        <w:rPr>
          <w:i/>
          <w:szCs w:val="24"/>
        </w:rPr>
        <w:t xml:space="preserve"> of </w:t>
      </w:r>
      <w:proofErr w:type="spellStart"/>
      <w:r w:rsidRPr="00D1383A">
        <w:rPr>
          <w:i/>
          <w:szCs w:val="24"/>
        </w:rPr>
        <w:t>Financial</w:t>
      </w:r>
      <w:proofErr w:type="spellEnd"/>
      <w:r w:rsidRPr="00D1383A">
        <w:rPr>
          <w:i/>
          <w:szCs w:val="24"/>
        </w:rPr>
        <w:t xml:space="preserve"> </w:t>
      </w:r>
      <w:proofErr w:type="spellStart"/>
      <w:r w:rsidRPr="00D1383A">
        <w:rPr>
          <w:i/>
          <w:szCs w:val="24"/>
        </w:rPr>
        <w:t>Economics</w:t>
      </w:r>
      <w:proofErr w:type="spellEnd"/>
      <w:r w:rsidRPr="00D1383A">
        <w:rPr>
          <w:i/>
          <w:szCs w:val="24"/>
        </w:rPr>
        <w:t xml:space="preserve">, 58(2000), 3-27. </w:t>
      </w:r>
    </w:p>
    <w:p w:rsidR="005D650F" w:rsidRPr="00D1383A" w:rsidRDefault="005D650F" w:rsidP="00D1383A">
      <w:pPr>
        <w:spacing w:afterLines="40" w:after="96"/>
        <w:ind w:left="284" w:hanging="284"/>
        <w:rPr>
          <w:i/>
          <w:szCs w:val="24"/>
        </w:rPr>
      </w:pPr>
      <w:proofErr w:type="spellStart"/>
      <w:r w:rsidRPr="00D1383A">
        <w:rPr>
          <w:i/>
          <w:szCs w:val="24"/>
        </w:rPr>
        <w:t>Mardiyanto</w:t>
      </w:r>
      <w:proofErr w:type="spellEnd"/>
      <w:r w:rsidRPr="00D1383A">
        <w:rPr>
          <w:i/>
          <w:szCs w:val="24"/>
        </w:rPr>
        <w:t xml:space="preserve">, H. (2009). </w:t>
      </w:r>
      <w:proofErr w:type="spellStart"/>
      <w:r w:rsidRPr="00D1383A">
        <w:rPr>
          <w:i/>
          <w:szCs w:val="24"/>
        </w:rPr>
        <w:t>Intisari</w:t>
      </w:r>
      <w:proofErr w:type="spellEnd"/>
      <w:r w:rsidRPr="00D1383A">
        <w:rPr>
          <w:i/>
          <w:szCs w:val="24"/>
        </w:rPr>
        <w:t xml:space="preserve"> </w:t>
      </w:r>
      <w:proofErr w:type="spellStart"/>
      <w:r w:rsidRPr="00D1383A">
        <w:rPr>
          <w:i/>
          <w:szCs w:val="24"/>
        </w:rPr>
        <w:t>Manajemen</w:t>
      </w:r>
      <w:proofErr w:type="spellEnd"/>
      <w:r w:rsidRPr="00D1383A">
        <w:rPr>
          <w:i/>
          <w:szCs w:val="24"/>
        </w:rPr>
        <w:t xml:space="preserve"> </w:t>
      </w:r>
      <w:proofErr w:type="spellStart"/>
      <w:r w:rsidRPr="00D1383A">
        <w:rPr>
          <w:i/>
          <w:szCs w:val="24"/>
        </w:rPr>
        <w:t>Keuangan</w:t>
      </w:r>
      <w:proofErr w:type="spellEnd"/>
      <w:r w:rsidRPr="00D1383A">
        <w:rPr>
          <w:i/>
          <w:szCs w:val="24"/>
        </w:rPr>
        <w:t xml:space="preserve">. </w:t>
      </w:r>
      <w:proofErr w:type="spellStart"/>
      <w:r w:rsidRPr="00D1383A">
        <w:rPr>
          <w:i/>
          <w:szCs w:val="24"/>
        </w:rPr>
        <w:t>Jakarta</w:t>
      </w:r>
      <w:proofErr w:type="spellEnd"/>
      <w:r w:rsidRPr="00D1383A">
        <w:rPr>
          <w:i/>
          <w:szCs w:val="24"/>
        </w:rPr>
        <w:t xml:space="preserve">: PT </w:t>
      </w:r>
      <w:proofErr w:type="spellStart"/>
      <w:r w:rsidRPr="00D1383A">
        <w:rPr>
          <w:i/>
          <w:szCs w:val="24"/>
        </w:rPr>
        <w:t>Grasindo</w:t>
      </w:r>
      <w:proofErr w:type="spellEnd"/>
      <w:r w:rsidRPr="00D1383A">
        <w:rPr>
          <w:i/>
          <w:szCs w:val="24"/>
        </w:rPr>
        <w:t>.</w:t>
      </w:r>
    </w:p>
    <w:p w:rsidR="00FC2AB1" w:rsidRPr="00D1383A" w:rsidRDefault="00FC2AB1" w:rsidP="00D1383A">
      <w:pPr>
        <w:spacing w:afterLines="40" w:after="96"/>
        <w:ind w:left="284" w:hanging="284"/>
        <w:rPr>
          <w:i/>
          <w:szCs w:val="24"/>
        </w:rPr>
      </w:pPr>
      <w:r w:rsidRPr="00D1383A">
        <w:rPr>
          <w:i/>
          <w:szCs w:val="24"/>
        </w:rPr>
        <w:t>Martín Marín, J.L. y Trujillo Ponce, A. (2000) Valoración de empresas en la práctica. Primera Edición, Editorial Ariel S.A., Barcelona, España.</w:t>
      </w:r>
    </w:p>
    <w:p w:rsidR="00FC2AB1" w:rsidRPr="00D1383A" w:rsidRDefault="00FC2AB1" w:rsidP="00D1383A">
      <w:pPr>
        <w:spacing w:afterLines="40" w:after="96"/>
        <w:ind w:left="284" w:hanging="284"/>
        <w:rPr>
          <w:i/>
          <w:szCs w:val="24"/>
        </w:rPr>
      </w:pPr>
      <w:proofErr w:type="spellStart"/>
      <w:r w:rsidRPr="00D1383A">
        <w:rPr>
          <w:i/>
          <w:szCs w:val="24"/>
        </w:rPr>
        <w:t>Mersland</w:t>
      </w:r>
      <w:proofErr w:type="spellEnd"/>
      <w:r w:rsidRPr="00D1383A">
        <w:rPr>
          <w:i/>
          <w:szCs w:val="24"/>
        </w:rPr>
        <w:t xml:space="preserve">, R., &amp; </w:t>
      </w:r>
      <w:proofErr w:type="spellStart"/>
      <w:r w:rsidRPr="00D1383A">
        <w:rPr>
          <w:i/>
          <w:szCs w:val="24"/>
        </w:rPr>
        <w:t>Strøm</w:t>
      </w:r>
      <w:proofErr w:type="spellEnd"/>
      <w:r w:rsidRPr="00D1383A">
        <w:rPr>
          <w:i/>
          <w:szCs w:val="24"/>
        </w:rPr>
        <w:t xml:space="preserve">, R. Ø. (2009). Performance and </w:t>
      </w:r>
      <w:proofErr w:type="spellStart"/>
      <w:r w:rsidRPr="00D1383A">
        <w:rPr>
          <w:i/>
          <w:szCs w:val="24"/>
        </w:rPr>
        <w:t>governance</w:t>
      </w:r>
      <w:proofErr w:type="spellEnd"/>
      <w:r w:rsidRPr="00D1383A">
        <w:rPr>
          <w:i/>
          <w:szCs w:val="24"/>
        </w:rPr>
        <w:t xml:space="preserve"> in </w:t>
      </w:r>
      <w:proofErr w:type="spellStart"/>
      <w:r w:rsidRPr="00D1383A">
        <w:rPr>
          <w:i/>
          <w:szCs w:val="24"/>
        </w:rPr>
        <w:t>microfinance</w:t>
      </w:r>
      <w:proofErr w:type="spellEnd"/>
      <w:r w:rsidRPr="00D1383A">
        <w:rPr>
          <w:i/>
          <w:szCs w:val="24"/>
        </w:rPr>
        <w:t xml:space="preserve"> </w:t>
      </w:r>
      <w:proofErr w:type="spellStart"/>
      <w:r w:rsidRPr="00D1383A">
        <w:rPr>
          <w:i/>
          <w:szCs w:val="24"/>
        </w:rPr>
        <w:t>institutions</w:t>
      </w:r>
      <w:proofErr w:type="spellEnd"/>
      <w:r w:rsidRPr="00D1383A">
        <w:rPr>
          <w:i/>
          <w:szCs w:val="24"/>
        </w:rPr>
        <w:t xml:space="preserve">. </w:t>
      </w:r>
      <w:proofErr w:type="spellStart"/>
      <w:r w:rsidRPr="00D1383A">
        <w:rPr>
          <w:i/>
          <w:szCs w:val="24"/>
        </w:rPr>
        <w:t>Journal</w:t>
      </w:r>
      <w:proofErr w:type="spellEnd"/>
      <w:r w:rsidRPr="00D1383A">
        <w:rPr>
          <w:i/>
          <w:szCs w:val="24"/>
        </w:rPr>
        <w:t xml:space="preserve"> of </w:t>
      </w:r>
      <w:proofErr w:type="spellStart"/>
      <w:r w:rsidRPr="00D1383A">
        <w:rPr>
          <w:i/>
          <w:szCs w:val="24"/>
        </w:rPr>
        <w:t>Banking</w:t>
      </w:r>
      <w:proofErr w:type="spellEnd"/>
      <w:r w:rsidRPr="00D1383A">
        <w:rPr>
          <w:i/>
          <w:szCs w:val="24"/>
        </w:rPr>
        <w:t xml:space="preserve"> &amp; </w:t>
      </w:r>
      <w:proofErr w:type="spellStart"/>
      <w:r w:rsidRPr="00D1383A">
        <w:rPr>
          <w:i/>
          <w:szCs w:val="24"/>
        </w:rPr>
        <w:t>Finance</w:t>
      </w:r>
      <w:proofErr w:type="spellEnd"/>
      <w:r w:rsidRPr="00D1383A">
        <w:rPr>
          <w:i/>
          <w:szCs w:val="24"/>
        </w:rPr>
        <w:t>, 33(4), 662-669.</w:t>
      </w:r>
    </w:p>
    <w:p w:rsidR="00FC2AB1" w:rsidRPr="00D1383A" w:rsidRDefault="00FC2AB1" w:rsidP="00D1383A">
      <w:pPr>
        <w:spacing w:afterLines="40" w:after="96"/>
        <w:ind w:left="284" w:hanging="284"/>
        <w:rPr>
          <w:i/>
          <w:szCs w:val="24"/>
        </w:rPr>
      </w:pPr>
      <w:proofErr w:type="spellStart"/>
      <w:r w:rsidRPr="00D1383A">
        <w:rPr>
          <w:i/>
          <w:szCs w:val="24"/>
        </w:rPr>
        <w:t>Mersland</w:t>
      </w:r>
      <w:proofErr w:type="spellEnd"/>
      <w:r w:rsidRPr="00D1383A">
        <w:rPr>
          <w:i/>
          <w:szCs w:val="24"/>
        </w:rPr>
        <w:t xml:space="preserve">, R. (2011). </w:t>
      </w:r>
      <w:proofErr w:type="spellStart"/>
      <w:r w:rsidRPr="00D1383A">
        <w:rPr>
          <w:i/>
          <w:szCs w:val="24"/>
        </w:rPr>
        <w:t>The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of non-</w:t>
      </w:r>
      <w:proofErr w:type="spellStart"/>
      <w:r w:rsidRPr="00D1383A">
        <w:rPr>
          <w:i/>
          <w:szCs w:val="24"/>
        </w:rPr>
        <w:t>profit</w:t>
      </w:r>
      <w:proofErr w:type="spellEnd"/>
      <w:r w:rsidRPr="00D1383A">
        <w:rPr>
          <w:i/>
          <w:szCs w:val="24"/>
        </w:rPr>
        <w:t xml:space="preserve"> micro </w:t>
      </w:r>
      <w:proofErr w:type="spellStart"/>
      <w:r w:rsidRPr="00D1383A">
        <w:rPr>
          <w:i/>
          <w:szCs w:val="24"/>
        </w:rPr>
        <w:t>finance</w:t>
      </w:r>
      <w:proofErr w:type="spellEnd"/>
      <w:r w:rsidRPr="00D1383A">
        <w:rPr>
          <w:i/>
          <w:szCs w:val="24"/>
        </w:rPr>
        <w:t xml:space="preserve"> </w:t>
      </w:r>
      <w:proofErr w:type="spellStart"/>
      <w:r w:rsidRPr="00D1383A">
        <w:rPr>
          <w:i/>
          <w:szCs w:val="24"/>
        </w:rPr>
        <w:t>institutions</w:t>
      </w:r>
      <w:proofErr w:type="spellEnd"/>
      <w:r w:rsidRPr="00D1383A">
        <w:rPr>
          <w:i/>
          <w:szCs w:val="24"/>
        </w:rPr>
        <w:t xml:space="preserve">: </w:t>
      </w:r>
      <w:proofErr w:type="spellStart"/>
      <w:r w:rsidRPr="00D1383A">
        <w:rPr>
          <w:i/>
          <w:szCs w:val="24"/>
        </w:rPr>
        <w:t>lessons</w:t>
      </w:r>
      <w:proofErr w:type="spellEnd"/>
      <w:r w:rsidRPr="00D1383A">
        <w:rPr>
          <w:i/>
          <w:szCs w:val="24"/>
        </w:rPr>
        <w:t xml:space="preserve"> </w:t>
      </w:r>
      <w:proofErr w:type="spellStart"/>
      <w:r w:rsidRPr="00D1383A">
        <w:rPr>
          <w:i/>
          <w:szCs w:val="24"/>
        </w:rPr>
        <w:t>from</w:t>
      </w:r>
      <w:proofErr w:type="spellEnd"/>
      <w:r w:rsidRPr="00D1383A">
        <w:rPr>
          <w:i/>
          <w:szCs w:val="24"/>
        </w:rPr>
        <w:t xml:space="preserve"> </w:t>
      </w:r>
      <w:proofErr w:type="spellStart"/>
      <w:r w:rsidRPr="00D1383A">
        <w:rPr>
          <w:i/>
          <w:szCs w:val="24"/>
        </w:rPr>
        <w:t>history</w:t>
      </w:r>
      <w:proofErr w:type="spellEnd"/>
      <w:r w:rsidRPr="00D1383A">
        <w:rPr>
          <w:i/>
          <w:szCs w:val="24"/>
        </w:rPr>
        <w:t xml:space="preserve">. </w:t>
      </w:r>
      <w:proofErr w:type="spellStart"/>
      <w:r w:rsidRPr="00D1383A">
        <w:rPr>
          <w:i/>
          <w:szCs w:val="24"/>
        </w:rPr>
        <w:t>Journal</w:t>
      </w:r>
      <w:proofErr w:type="spellEnd"/>
      <w:r w:rsidRPr="00D1383A">
        <w:rPr>
          <w:i/>
          <w:szCs w:val="24"/>
        </w:rPr>
        <w:t xml:space="preserve"> of </w:t>
      </w:r>
      <w:proofErr w:type="spellStart"/>
      <w:r w:rsidRPr="00D1383A">
        <w:rPr>
          <w:i/>
          <w:szCs w:val="24"/>
        </w:rPr>
        <w:t>management</w:t>
      </w:r>
      <w:proofErr w:type="spellEnd"/>
      <w:r w:rsidRPr="00D1383A">
        <w:rPr>
          <w:i/>
          <w:szCs w:val="24"/>
        </w:rPr>
        <w:t xml:space="preserve"> y </w:t>
      </w:r>
      <w:proofErr w:type="spellStart"/>
      <w:r w:rsidRPr="00D1383A">
        <w:rPr>
          <w:i/>
          <w:szCs w:val="24"/>
        </w:rPr>
        <w:t>governance</w:t>
      </w:r>
      <w:proofErr w:type="spellEnd"/>
      <w:r w:rsidRPr="00D1383A">
        <w:rPr>
          <w:i/>
          <w:szCs w:val="24"/>
        </w:rPr>
        <w:t>, 15(3), 327-348.</w:t>
      </w:r>
    </w:p>
    <w:p w:rsidR="00FF71CD" w:rsidRPr="00D1383A" w:rsidRDefault="00FC2AB1" w:rsidP="00D1383A">
      <w:pPr>
        <w:spacing w:afterLines="40" w:after="96"/>
        <w:ind w:left="284" w:hanging="284"/>
        <w:rPr>
          <w:i/>
          <w:szCs w:val="24"/>
        </w:rPr>
      </w:pPr>
      <w:proofErr w:type="spellStart"/>
      <w:r w:rsidRPr="00D1383A">
        <w:rPr>
          <w:i/>
          <w:szCs w:val="24"/>
        </w:rPr>
        <w:t>MicroRate</w:t>
      </w:r>
      <w:proofErr w:type="spellEnd"/>
      <w:r w:rsidRPr="00D1383A">
        <w:rPr>
          <w:i/>
          <w:szCs w:val="24"/>
        </w:rPr>
        <w:t xml:space="preserve">, B. I. D. D. (2003). Indicadores de desempeño para Instituciones </w:t>
      </w:r>
      <w:proofErr w:type="spellStart"/>
      <w:r w:rsidRPr="00D1383A">
        <w:rPr>
          <w:i/>
          <w:szCs w:val="24"/>
        </w:rPr>
        <w:t>microfinancieras</w:t>
      </w:r>
      <w:proofErr w:type="spellEnd"/>
      <w:r w:rsidRPr="00D1383A">
        <w:rPr>
          <w:i/>
          <w:szCs w:val="24"/>
        </w:rPr>
        <w:t>. BID, Washington DC–Estados Unidos.</w:t>
      </w:r>
      <w:r w:rsidR="00FF71CD" w:rsidRPr="00D1383A">
        <w:rPr>
          <w:i/>
          <w:szCs w:val="24"/>
        </w:rPr>
        <w:t xml:space="preserve"> </w:t>
      </w:r>
    </w:p>
    <w:p w:rsidR="00FF71CD" w:rsidRPr="00D1383A" w:rsidRDefault="00FF71CD" w:rsidP="00D1383A">
      <w:pPr>
        <w:spacing w:afterLines="40" w:after="96"/>
        <w:ind w:left="284" w:hanging="284"/>
        <w:rPr>
          <w:i/>
          <w:szCs w:val="24"/>
        </w:rPr>
      </w:pPr>
      <w:proofErr w:type="spellStart"/>
      <w:r w:rsidRPr="00D1383A">
        <w:rPr>
          <w:i/>
          <w:szCs w:val="24"/>
        </w:rPr>
        <w:t>Mireku</w:t>
      </w:r>
      <w:proofErr w:type="spellEnd"/>
      <w:r w:rsidRPr="00D1383A">
        <w:rPr>
          <w:i/>
          <w:szCs w:val="24"/>
        </w:rPr>
        <w:t xml:space="preserve">, K., </w:t>
      </w:r>
      <w:proofErr w:type="spellStart"/>
      <w:r w:rsidRPr="00D1383A">
        <w:rPr>
          <w:i/>
          <w:szCs w:val="24"/>
        </w:rPr>
        <w:t>Mensah</w:t>
      </w:r>
      <w:proofErr w:type="spellEnd"/>
      <w:r w:rsidRPr="00D1383A">
        <w:rPr>
          <w:i/>
          <w:szCs w:val="24"/>
        </w:rPr>
        <w:t xml:space="preserve">, S., &amp; </w:t>
      </w:r>
      <w:proofErr w:type="spellStart"/>
      <w:r w:rsidRPr="00D1383A">
        <w:rPr>
          <w:i/>
          <w:szCs w:val="24"/>
        </w:rPr>
        <w:t>Ogoe</w:t>
      </w:r>
      <w:proofErr w:type="spellEnd"/>
      <w:r w:rsidRPr="00D1383A">
        <w:rPr>
          <w:i/>
          <w:szCs w:val="24"/>
        </w:rPr>
        <w:t xml:space="preserve">, E. (2014). </w:t>
      </w:r>
      <w:proofErr w:type="spellStart"/>
      <w:r w:rsidRPr="00D1383A">
        <w:rPr>
          <w:i/>
          <w:szCs w:val="24"/>
        </w:rPr>
        <w:t>The</w:t>
      </w:r>
      <w:proofErr w:type="spellEnd"/>
      <w:r w:rsidRPr="00D1383A">
        <w:rPr>
          <w:i/>
          <w:szCs w:val="24"/>
        </w:rPr>
        <w:t xml:space="preserve"> </w:t>
      </w:r>
      <w:proofErr w:type="spellStart"/>
      <w:r w:rsidRPr="00D1383A">
        <w:rPr>
          <w:i/>
          <w:szCs w:val="24"/>
        </w:rPr>
        <w:t>relationship</w:t>
      </w:r>
      <w:proofErr w:type="spellEnd"/>
      <w:r w:rsidRPr="00D1383A">
        <w:rPr>
          <w:i/>
          <w:szCs w:val="24"/>
        </w:rPr>
        <w:t xml:space="preserve"> </w:t>
      </w:r>
      <w:proofErr w:type="spellStart"/>
      <w:r w:rsidRPr="00D1383A">
        <w:rPr>
          <w:i/>
          <w:szCs w:val="24"/>
        </w:rPr>
        <w:t>between</w:t>
      </w:r>
      <w:proofErr w:type="spellEnd"/>
      <w:r w:rsidRPr="00D1383A">
        <w:rPr>
          <w:i/>
          <w:szCs w:val="24"/>
        </w:rPr>
        <w:t xml:space="preserve"> capital </w:t>
      </w:r>
      <w:proofErr w:type="spellStart"/>
      <w:r w:rsidRPr="00D1383A">
        <w:rPr>
          <w:i/>
          <w:szCs w:val="24"/>
        </w:rPr>
        <w:t>structure</w:t>
      </w:r>
      <w:proofErr w:type="spellEnd"/>
      <w:r w:rsidRPr="00D1383A">
        <w:rPr>
          <w:i/>
          <w:szCs w:val="24"/>
        </w:rPr>
        <w:t xml:space="preserve"> </w:t>
      </w:r>
      <w:proofErr w:type="spellStart"/>
      <w:r w:rsidRPr="00D1383A">
        <w:rPr>
          <w:i/>
          <w:szCs w:val="24"/>
        </w:rPr>
        <w:t>measures</w:t>
      </w:r>
      <w:proofErr w:type="spellEnd"/>
      <w:r w:rsidRPr="00D1383A">
        <w:rPr>
          <w:i/>
          <w:szCs w:val="24"/>
        </w:rPr>
        <w:t xml:space="preserve"> and </w:t>
      </w:r>
      <w:proofErr w:type="spellStart"/>
      <w:r w:rsidRPr="00D1383A">
        <w:rPr>
          <w:i/>
          <w:szCs w:val="24"/>
        </w:rPr>
        <w:t>financial</w:t>
      </w:r>
      <w:proofErr w:type="spellEnd"/>
      <w:r w:rsidRPr="00D1383A">
        <w:rPr>
          <w:i/>
          <w:szCs w:val="24"/>
        </w:rPr>
        <w:t xml:space="preserve"> </w:t>
      </w:r>
      <w:proofErr w:type="spellStart"/>
      <w:r w:rsidRPr="00D1383A">
        <w:rPr>
          <w:i/>
          <w:szCs w:val="24"/>
        </w:rPr>
        <w:t>perfor</w:t>
      </w:r>
      <w:proofErr w:type="spellEnd"/>
      <w:r w:rsidRPr="00D1383A">
        <w:rPr>
          <w:i/>
          <w:szCs w:val="24"/>
        </w:rPr>
        <w:t xml:space="preserve">- </w:t>
      </w:r>
      <w:proofErr w:type="spellStart"/>
      <w:r w:rsidRPr="00D1383A">
        <w:rPr>
          <w:i/>
          <w:szCs w:val="24"/>
        </w:rPr>
        <w:t>mance</w:t>
      </w:r>
      <w:proofErr w:type="spellEnd"/>
      <w:r w:rsidRPr="00D1383A">
        <w:rPr>
          <w:i/>
          <w:szCs w:val="24"/>
        </w:rPr>
        <w:t xml:space="preserve">: </w:t>
      </w:r>
      <w:proofErr w:type="spellStart"/>
      <w:r w:rsidRPr="00D1383A">
        <w:rPr>
          <w:i/>
          <w:szCs w:val="24"/>
        </w:rPr>
        <w:t>Evidence</w:t>
      </w:r>
      <w:proofErr w:type="spellEnd"/>
      <w:r w:rsidRPr="00D1383A">
        <w:rPr>
          <w:i/>
          <w:szCs w:val="24"/>
        </w:rPr>
        <w:t xml:space="preserve"> </w:t>
      </w:r>
      <w:proofErr w:type="spellStart"/>
      <w:r w:rsidRPr="00D1383A">
        <w:rPr>
          <w:i/>
          <w:szCs w:val="24"/>
        </w:rPr>
        <w:t>from</w:t>
      </w:r>
      <w:proofErr w:type="spellEnd"/>
      <w:r w:rsidRPr="00D1383A">
        <w:rPr>
          <w:i/>
          <w:szCs w:val="24"/>
        </w:rPr>
        <w:t xml:space="preserve"> Ghana. International </w:t>
      </w:r>
      <w:proofErr w:type="spellStart"/>
      <w:r w:rsidRPr="00D1383A">
        <w:rPr>
          <w:i/>
          <w:szCs w:val="24"/>
        </w:rPr>
        <w:t>Journal</w:t>
      </w:r>
      <w:proofErr w:type="spellEnd"/>
      <w:r w:rsidRPr="00D1383A">
        <w:rPr>
          <w:i/>
          <w:szCs w:val="24"/>
        </w:rPr>
        <w:t xml:space="preserve"> of Business and Management, 9(6), 151–160. </w:t>
      </w:r>
    </w:p>
    <w:p w:rsidR="00FC2AB1" w:rsidRPr="00D1383A" w:rsidRDefault="00FF71CD" w:rsidP="00D1383A">
      <w:pPr>
        <w:spacing w:afterLines="40" w:after="96"/>
        <w:ind w:left="284" w:hanging="284"/>
        <w:rPr>
          <w:i/>
          <w:szCs w:val="24"/>
        </w:rPr>
      </w:pPr>
      <w:proofErr w:type="spellStart"/>
      <w:r w:rsidRPr="00D1383A">
        <w:rPr>
          <w:i/>
          <w:szCs w:val="24"/>
        </w:rPr>
        <w:lastRenderedPageBreak/>
        <w:t>Modigliani</w:t>
      </w:r>
      <w:proofErr w:type="spellEnd"/>
      <w:r w:rsidRPr="00D1383A">
        <w:rPr>
          <w:i/>
          <w:szCs w:val="24"/>
        </w:rPr>
        <w:t xml:space="preserve">, F., &amp; Miller, M. (1958). </w:t>
      </w:r>
      <w:proofErr w:type="spellStart"/>
      <w:r w:rsidRPr="00D1383A">
        <w:rPr>
          <w:i/>
          <w:szCs w:val="24"/>
        </w:rPr>
        <w:t>The</w:t>
      </w:r>
      <w:proofErr w:type="spellEnd"/>
      <w:r w:rsidRPr="00D1383A">
        <w:rPr>
          <w:i/>
          <w:szCs w:val="24"/>
        </w:rPr>
        <w:t xml:space="preserve"> </w:t>
      </w:r>
      <w:proofErr w:type="spellStart"/>
      <w:r w:rsidRPr="00D1383A">
        <w:rPr>
          <w:i/>
          <w:szCs w:val="24"/>
        </w:rPr>
        <w:t>cost</w:t>
      </w:r>
      <w:proofErr w:type="spellEnd"/>
      <w:r w:rsidRPr="00D1383A">
        <w:rPr>
          <w:i/>
          <w:szCs w:val="24"/>
        </w:rPr>
        <w:t xml:space="preserve"> of capital, </w:t>
      </w:r>
      <w:proofErr w:type="spellStart"/>
      <w:r w:rsidRPr="00D1383A">
        <w:rPr>
          <w:i/>
          <w:szCs w:val="24"/>
        </w:rPr>
        <w:t>cor</w:t>
      </w:r>
      <w:proofErr w:type="spellEnd"/>
      <w:r w:rsidRPr="00D1383A">
        <w:rPr>
          <w:i/>
          <w:szCs w:val="24"/>
        </w:rPr>
        <w:t xml:space="preserve">- </w:t>
      </w:r>
      <w:proofErr w:type="spellStart"/>
      <w:r w:rsidRPr="00D1383A">
        <w:rPr>
          <w:i/>
          <w:szCs w:val="24"/>
        </w:rPr>
        <w:t>poration</w:t>
      </w:r>
      <w:proofErr w:type="spellEnd"/>
      <w:r w:rsidRPr="00D1383A">
        <w:rPr>
          <w:i/>
          <w:szCs w:val="24"/>
        </w:rPr>
        <w:t xml:space="preserve"> </w:t>
      </w:r>
      <w:proofErr w:type="spellStart"/>
      <w:r w:rsidRPr="00D1383A">
        <w:rPr>
          <w:i/>
          <w:szCs w:val="24"/>
        </w:rPr>
        <w:t>finance</w:t>
      </w:r>
      <w:proofErr w:type="spellEnd"/>
      <w:r w:rsidRPr="00D1383A">
        <w:rPr>
          <w:i/>
          <w:szCs w:val="24"/>
        </w:rPr>
        <w:t xml:space="preserve">, and </w:t>
      </w:r>
      <w:proofErr w:type="spellStart"/>
      <w:r w:rsidRPr="00D1383A">
        <w:rPr>
          <w:i/>
          <w:szCs w:val="24"/>
        </w:rPr>
        <w:t>the</w:t>
      </w:r>
      <w:proofErr w:type="spellEnd"/>
      <w:r w:rsidRPr="00D1383A">
        <w:rPr>
          <w:i/>
          <w:szCs w:val="24"/>
        </w:rPr>
        <w:t xml:space="preserve"> </w:t>
      </w:r>
      <w:proofErr w:type="spellStart"/>
      <w:r w:rsidRPr="00D1383A">
        <w:rPr>
          <w:i/>
          <w:szCs w:val="24"/>
        </w:rPr>
        <w:t>theory</w:t>
      </w:r>
      <w:proofErr w:type="spellEnd"/>
      <w:r w:rsidRPr="00D1383A">
        <w:rPr>
          <w:i/>
          <w:szCs w:val="24"/>
        </w:rPr>
        <w:t xml:space="preserve"> of </w:t>
      </w:r>
      <w:proofErr w:type="spellStart"/>
      <w:r w:rsidRPr="00D1383A">
        <w:rPr>
          <w:i/>
          <w:szCs w:val="24"/>
        </w:rPr>
        <w:t>investment</w:t>
      </w:r>
      <w:proofErr w:type="spellEnd"/>
      <w:r w:rsidRPr="00D1383A">
        <w:rPr>
          <w:i/>
          <w:szCs w:val="24"/>
        </w:rPr>
        <w:t xml:space="preserve">. American </w:t>
      </w:r>
      <w:proofErr w:type="spellStart"/>
      <w:r w:rsidRPr="00D1383A">
        <w:rPr>
          <w:i/>
          <w:szCs w:val="24"/>
        </w:rPr>
        <w:t>Economic</w:t>
      </w:r>
      <w:proofErr w:type="spellEnd"/>
      <w:r w:rsidRPr="00D1383A">
        <w:rPr>
          <w:i/>
          <w:szCs w:val="24"/>
        </w:rPr>
        <w:t xml:space="preserve"> </w:t>
      </w:r>
      <w:proofErr w:type="spellStart"/>
      <w:r w:rsidRPr="00D1383A">
        <w:rPr>
          <w:i/>
          <w:szCs w:val="24"/>
        </w:rPr>
        <w:t>Review</w:t>
      </w:r>
      <w:proofErr w:type="spellEnd"/>
      <w:r w:rsidRPr="00D1383A">
        <w:rPr>
          <w:i/>
          <w:szCs w:val="24"/>
        </w:rPr>
        <w:t>, 261–297.</w:t>
      </w:r>
    </w:p>
    <w:p w:rsidR="00FC2AB1" w:rsidRPr="00D1383A" w:rsidRDefault="00FC2AB1" w:rsidP="00D1383A">
      <w:pPr>
        <w:spacing w:afterLines="40" w:after="96"/>
        <w:ind w:left="284" w:hanging="284"/>
        <w:rPr>
          <w:i/>
          <w:szCs w:val="24"/>
        </w:rPr>
      </w:pPr>
      <w:proofErr w:type="spellStart"/>
      <w:r w:rsidRPr="00D1383A">
        <w:rPr>
          <w:i/>
          <w:szCs w:val="24"/>
        </w:rPr>
        <w:t>Mouselli</w:t>
      </w:r>
      <w:proofErr w:type="spellEnd"/>
      <w:r w:rsidRPr="00D1383A">
        <w:rPr>
          <w:i/>
          <w:szCs w:val="24"/>
        </w:rPr>
        <w:t xml:space="preserve">, S., &amp; </w:t>
      </w:r>
      <w:proofErr w:type="spellStart"/>
      <w:r w:rsidRPr="00D1383A">
        <w:rPr>
          <w:i/>
          <w:szCs w:val="24"/>
        </w:rPr>
        <w:t>Hussainey</w:t>
      </w:r>
      <w:proofErr w:type="spellEnd"/>
      <w:r w:rsidRPr="00D1383A">
        <w:rPr>
          <w:i/>
          <w:szCs w:val="24"/>
        </w:rPr>
        <w:t xml:space="preserve">, K. (2014).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w:t>
      </w:r>
      <w:proofErr w:type="spellStart"/>
      <w:r w:rsidRPr="00D1383A">
        <w:rPr>
          <w:i/>
          <w:szCs w:val="24"/>
        </w:rPr>
        <w:t>analyst</w:t>
      </w:r>
      <w:proofErr w:type="spellEnd"/>
      <w:r w:rsidRPr="00D1383A">
        <w:rPr>
          <w:i/>
          <w:szCs w:val="24"/>
        </w:rPr>
        <w:t xml:space="preserve"> </w:t>
      </w:r>
      <w:proofErr w:type="spellStart"/>
      <w:r w:rsidRPr="00D1383A">
        <w:rPr>
          <w:i/>
          <w:szCs w:val="24"/>
        </w:rPr>
        <w:t>following</w:t>
      </w:r>
      <w:proofErr w:type="spellEnd"/>
      <w:r w:rsidRPr="00D1383A">
        <w:rPr>
          <w:i/>
          <w:szCs w:val="24"/>
        </w:rPr>
        <w:t xml:space="preserve"> and </w:t>
      </w:r>
      <w:proofErr w:type="spellStart"/>
      <w:r w:rsidRPr="00D1383A">
        <w:rPr>
          <w:i/>
          <w:szCs w:val="24"/>
        </w:rPr>
        <w:t>firm</w:t>
      </w:r>
      <w:proofErr w:type="spellEnd"/>
      <w:r w:rsidRPr="00D1383A">
        <w:rPr>
          <w:i/>
          <w:szCs w:val="24"/>
        </w:rPr>
        <w:t xml:space="preserve"> </w:t>
      </w:r>
      <w:proofErr w:type="spellStart"/>
      <w:r w:rsidRPr="00D1383A">
        <w:rPr>
          <w:i/>
          <w:szCs w:val="24"/>
        </w:rPr>
        <w:t>value</w:t>
      </w:r>
      <w:proofErr w:type="spellEnd"/>
      <w:r w:rsidRPr="00D1383A">
        <w:rPr>
          <w:i/>
          <w:szCs w:val="24"/>
        </w:rPr>
        <w:t xml:space="preserve">.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14(4), 453-466.</w:t>
      </w:r>
    </w:p>
    <w:p w:rsidR="00FF71CD" w:rsidRPr="00D1383A" w:rsidRDefault="001E3F13" w:rsidP="00D1383A">
      <w:pPr>
        <w:spacing w:afterLines="40" w:after="96"/>
        <w:ind w:left="284" w:hanging="284"/>
        <w:rPr>
          <w:i/>
          <w:szCs w:val="24"/>
        </w:rPr>
      </w:pPr>
      <w:proofErr w:type="spellStart"/>
      <w:r w:rsidRPr="00D1383A">
        <w:rPr>
          <w:i/>
          <w:szCs w:val="24"/>
        </w:rPr>
        <w:t>Ngo</w:t>
      </w:r>
      <w:proofErr w:type="spellEnd"/>
      <w:r w:rsidRPr="00D1383A">
        <w:rPr>
          <w:i/>
          <w:szCs w:val="24"/>
        </w:rPr>
        <w:t xml:space="preserve"> MT, </w:t>
      </w:r>
      <w:proofErr w:type="spellStart"/>
      <w:r w:rsidRPr="00D1383A">
        <w:rPr>
          <w:i/>
          <w:szCs w:val="24"/>
        </w:rPr>
        <w:t>Jorissen</w:t>
      </w:r>
      <w:proofErr w:type="spellEnd"/>
      <w:r w:rsidRPr="00D1383A">
        <w:rPr>
          <w:i/>
          <w:szCs w:val="24"/>
        </w:rPr>
        <w:t xml:space="preserve"> A, </w:t>
      </w:r>
      <w:proofErr w:type="spellStart"/>
      <w:r w:rsidRPr="00D1383A">
        <w:rPr>
          <w:i/>
          <w:szCs w:val="24"/>
        </w:rPr>
        <w:t>Nonneman</w:t>
      </w:r>
      <w:proofErr w:type="spellEnd"/>
      <w:r w:rsidRPr="00D1383A">
        <w:rPr>
          <w:i/>
          <w:szCs w:val="24"/>
        </w:rPr>
        <w:t> W. Do OECD</w:t>
      </w:r>
      <w:r w:rsidRPr="00D1383A">
        <w:rPr>
          <w:rFonts w:ascii="Cambria Math" w:hAnsi="Cambria Math" w:cs="Cambria Math"/>
          <w:i/>
          <w:szCs w:val="24"/>
        </w:rPr>
        <w:t>‐</w:t>
      </w:r>
      <w:proofErr w:type="spellStart"/>
      <w:r w:rsidRPr="00D1383A">
        <w:rPr>
          <w:i/>
          <w:szCs w:val="24"/>
        </w:rPr>
        <w:t>type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w:t>
      </w:r>
      <w:proofErr w:type="spellStart"/>
      <w:r w:rsidRPr="00D1383A">
        <w:rPr>
          <w:i/>
          <w:szCs w:val="24"/>
        </w:rPr>
        <w:t>principles</w:t>
      </w:r>
      <w:proofErr w:type="spellEnd"/>
      <w:r w:rsidRPr="00D1383A">
        <w:rPr>
          <w:i/>
          <w:szCs w:val="24"/>
        </w:rPr>
        <w:t xml:space="preserve"> </w:t>
      </w:r>
      <w:proofErr w:type="spellStart"/>
      <w:r w:rsidRPr="00D1383A">
        <w:rPr>
          <w:i/>
          <w:szCs w:val="24"/>
        </w:rPr>
        <w:t>have</w:t>
      </w:r>
      <w:proofErr w:type="spellEnd"/>
      <w:r w:rsidRPr="00D1383A">
        <w:rPr>
          <w:i/>
          <w:szCs w:val="24"/>
        </w:rPr>
        <w:t xml:space="preserve"> </w:t>
      </w:r>
      <w:proofErr w:type="spellStart"/>
      <w:r w:rsidRPr="00D1383A">
        <w:rPr>
          <w:i/>
          <w:szCs w:val="24"/>
        </w:rPr>
        <w:t>economic</w:t>
      </w:r>
      <w:proofErr w:type="spellEnd"/>
      <w:r w:rsidRPr="00D1383A">
        <w:rPr>
          <w:i/>
          <w:szCs w:val="24"/>
        </w:rPr>
        <w:t xml:space="preserve"> </w:t>
      </w:r>
      <w:proofErr w:type="spellStart"/>
      <w:r w:rsidRPr="00D1383A">
        <w:rPr>
          <w:i/>
          <w:szCs w:val="24"/>
        </w:rPr>
        <w:t>value</w:t>
      </w:r>
      <w:proofErr w:type="spellEnd"/>
      <w:r w:rsidRPr="00D1383A">
        <w:rPr>
          <w:i/>
          <w:szCs w:val="24"/>
        </w:rPr>
        <w:t xml:space="preserve"> </w:t>
      </w:r>
      <w:proofErr w:type="spellStart"/>
      <w:r w:rsidRPr="00D1383A">
        <w:rPr>
          <w:i/>
          <w:szCs w:val="24"/>
        </w:rPr>
        <w:t>for</w:t>
      </w:r>
      <w:proofErr w:type="spellEnd"/>
      <w:r w:rsidRPr="00D1383A">
        <w:rPr>
          <w:i/>
          <w:szCs w:val="24"/>
        </w:rPr>
        <w:t xml:space="preserve"> </w:t>
      </w:r>
      <w:proofErr w:type="spellStart"/>
      <w:r w:rsidRPr="00D1383A">
        <w:rPr>
          <w:i/>
          <w:szCs w:val="24"/>
        </w:rPr>
        <w:t>Vietnamese</w:t>
      </w:r>
      <w:proofErr w:type="spellEnd"/>
      <w:r w:rsidRPr="00D1383A">
        <w:rPr>
          <w:i/>
          <w:szCs w:val="24"/>
        </w:rPr>
        <w:t xml:space="preserve"> </w:t>
      </w:r>
      <w:proofErr w:type="spellStart"/>
      <w:r w:rsidRPr="00D1383A">
        <w:rPr>
          <w:i/>
          <w:szCs w:val="24"/>
        </w:rPr>
        <w:t>firms</w:t>
      </w:r>
      <w:proofErr w:type="spellEnd"/>
      <w:r w:rsidRPr="00D1383A">
        <w:rPr>
          <w:i/>
          <w:szCs w:val="24"/>
        </w:rPr>
        <w:t xml:space="preserve"> at IPO? </w:t>
      </w:r>
      <w:proofErr w:type="spellStart"/>
      <w:r w:rsidRPr="00D1383A">
        <w:rPr>
          <w:i/>
          <w:iCs/>
          <w:szCs w:val="24"/>
        </w:rPr>
        <w:t>Corp</w:t>
      </w:r>
      <w:proofErr w:type="spellEnd"/>
      <w:r w:rsidRPr="00D1383A">
        <w:rPr>
          <w:i/>
          <w:iCs/>
          <w:szCs w:val="24"/>
        </w:rPr>
        <w:t xml:space="preserve"> </w:t>
      </w:r>
      <w:proofErr w:type="spellStart"/>
      <w:r w:rsidRPr="00D1383A">
        <w:rPr>
          <w:i/>
          <w:iCs/>
          <w:szCs w:val="24"/>
        </w:rPr>
        <w:t>Govern</w:t>
      </w:r>
      <w:proofErr w:type="spellEnd"/>
      <w:r w:rsidRPr="00D1383A">
        <w:rPr>
          <w:i/>
          <w:iCs/>
          <w:szCs w:val="24"/>
        </w:rPr>
        <w:t xml:space="preserve"> </w:t>
      </w:r>
      <w:proofErr w:type="spellStart"/>
      <w:r w:rsidRPr="00D1383A">
        <w:rPr>
          <w:i/>
          <w:iCs/>
          <w:szCs w:val="24"/>
        </w:rPr>
        <w:t>Int</w:t>
      </w:r>
      <w:proofErr w:type="spellEnd"/>
      <w:r w:rsidRPr="00D1383A">
        <w:rPr>
          <w:i/>
          <w:iCs/>
          <w:szCs w:val="24"/>
        </w:rPr>
        <w:t xml:space="preserve"> Rev</w:t>
      </w:r>
      <w:r w:rsidRPr="00D1383A">
        <w:rPr>
          <w:i/>
          <w:szCs w:val="24"/>
        </w:rPr>
        <w:t>. 2018</w:t>
      </w:r>
      <w:proofErr w:type="gramStart"/>
      <w:r w:rsidRPr="00D1383A">
        <w:rPr>
          <w:i/>
          <w:szCs w:val="24"/>
        </w:rPr>
        <w:t>;26:58</w:t>
      </w:r>
      <w:proofErr w:type="gramEnd"/>
      <w:r w:rsidRPr="00D1383A">
        <w:rPr>
          <w:i/>
          <w:szCs w:val="24"/>
        </w:rPr>
        <w:t>–79. https://doi.org/10.1111/corg.122288</w:t>
      </w:r>
      <w:r w:rsidR="00FF71CD" w:rsidRPr="00D1383A">
        <w:rPr>
          <w:i/>
          <w:szCs w:val="24"/>
        </w:rPr>
        <w:t xml:space="preserve"> </w:t>
      </w:r>
    </w:p>
    <w:p w:rsidR="00FF71CD" w:rsidRPr="00D1383A" w:rsidRDefault="00FF71CD" w:rsidP="00D1383A">
      <w:pPr>
        <w:spacing w:afterLines="40" w:after="96"/>
        <w:ind w:left="284" w:hanging="284"/>
        <w:rPr>
          <w:i/>
          <w:szCs w:val="24"/>
        </w:rPr>
      </w:pPr>
      <w:proofErr w:type="spellStart"/>
      <w:r w:rsidRPr="00D1383A">
        <w:rPr>
          <w:i/>
          <w:szCs w:val="24"/>
        </w:rPr>
        <w:t>Olokoyo</w:t>
      </w:r>
      <w:proofErr w:type="spellEnd"/>
      <w:r w:rsidRPr="00D1383A">
        <w:rPr>
          <w:i/>
          <w:szCs w:val="24"/>
        </w:rPr>
        <w:t xml:space="preserve">, F.O. (2013). Capital </w:t>
      </w:r>
      <w:proofErr w:type="spellStart"/>
      <w:r w:rsidRPr="00D1383A">
        <w:rPr>
          <w:i/>
          <w:szCs w:val="24"/>
        </w:rPr>
        <w:t>structure</w:t>
      </w:r>
      <w:proofErr w:type="spellEnd"/>
      <w:r w:rsidRPr="00D1383A">
        <w:rPr>
          <w:i/>
          <w:szCs w:val="24"/>
        </w:rPr>
        <w:t xml:space="preserve"> and </w:t>
      </w:r>
      <w:proofErr w:type="spellStart"/>
      <w:r w:rsidRPr="00D1383A">
        <w:rPr>
          <w:i/>
          <w:szCs w:val="24"/>
        </w:rPr>
        <w:t>corporate</w:t>
      </w:r>
      <w:proofErr w:type="spellEnd"/>
      <w:r w:rsidRPr="00D1383A">
        <w:rPr>
          <w:i/>
          <w:szCs w:val="24"/>
        </w:rPr>
        <w:t xml:space="preserve"> </w:t>
      </w:r>
      <w:proofErr w:type="spellStart"/>
      <w:r w:rsidRPr="00D1383A">
        <w:rPr>
          <w:i/>
          <w:szCs w:val="24"/>
        </w:rPr>
        <w:t>perfor</w:t>
      </w:r>
      <w:proofErr w:type="spellEnd"/>
      <w:r w:rsidRPr="00D1383A">
        <w:rPr>
          <w:i/>
          <w:szCs w:val="24"/>
        </w:rPr>
        <w:t xml:space="preserve">- </w:t>
      </w:r>
      <w:proofErr w:type="spellStart"/>
      <w:r w:rsidRPr="00D1383A">
        <w:rPr>
          <w:i/>
          <w:szCs w:val="24"/>
        </w:rPr>
        <w:t>mance</w:t>
      </w:r>
      <w:proofErr w:type="spellEnd"/>
      <w:r w:rsidRPr="00D1383A">
        <w:rPr>
          <w:i/>
          <w:szCs w:val="24"/>
        </w:rPr>
        <w:t xml:space="preserve"> of </w:t>
      </w:r>
      <w:proofErr w:type="spellStart"/>
      <w:r w:rsidRPr="00D1383A">
        <w:rPr>
          <w:i/>
          <w:szCs w:val="24"/>
        </w:rPr>
        <w:t>Nigerian</w:t>
      </w:r>
      <w:proofErr w:type="spellEnd"/>
      <w:r w:rsidRPr="00D1383A">
        <w:rPr>
          <w:i/>
          <w:szCs w:val="24"/>
        </w:rPr>
        <w:t xml:space="preserve"> </w:t>
      </w:r>
      <w:proofErr w:type="spellStart"/>
      <w:r w:rsidRPr="00D1383A">
        <w:rPr>
          <w:i/>
          <w:szCs w:val="24"/>
        </w:rPr>
        <w:t>quoted</w:t>
      </w:r>
      <w:proofErr w:type="spellEnd"/>
      <w:r w:rsidRPr="00D1383A">
        <w:rPr>
          <w:i/>
          <w:szCs w:val="24"/>
        </w:rPr>
        <w:t xml:space="preserve"> </w:t>
      </w:r>
      <w:proofErr w:type="spellStart"/>
      <w:r w:rsidRPr="00D1383A">
        <w:rPr>
          <w:i/>
          <w:szCs w:val="24"/>
        </w:rPr>
        <w:t>firms</w:t>
      </w:r>
      <w:proofErr w:type="spellEnd"/>
      <w:r w:rsidRPr="00D1383A">
        <w:rPr>
          <w:i/>
          <w:szCs w:val="24"/>
        </w:rPr>
        <w:t xml:space="preserve">: A panel data </w:t>
      </w:r>
      <w:proofErr w:type="spellStart"/>
      <w:r w:rsidRPr="00D1383A">
        <w:rPr>
          <w:i/>
          <w:szCs w:val="24"/>
        </w:rPr>
        <w:t>approach</w:t>
      </w:r>
      <w:proofErr w:type="spellEnd"/>
      <w:r w:rsidRPr="00D1383A">
        <w:rPr>
          <w:i/>
          <w:szCs w:val="24"/>
        </w:rPr>
        <w:t xml:space="preserve">. </w:t>
      </w:r>
      <w:proofErr w:type="spellStart"/>
      <w:r w:rsidRPr="00D1383A">
        <w:rPr>
          <w:i/>
          <w:szCs w:val="24"/>
        </w:rPr>
        <w:t>African</w:t>
      </w:r>
      <w:proofErr w:type="spellEnd"/>
      <w:r w:rsidRPr="00D1383A">
        <w:rPr>
          <w:i/>
          <w:szCs w:val="24"/>
        </w:rPr>
        <w:t xml:space="preserve"> </w:t>
      </w:r>
      <w:proofErr w:type="spellStart"/>
      <w:r w:rsidRPr="00D1383A">
        <w:rPr>
          <w:i/>
          <w:szCs w:val="24"/>
        </w:rPr>
        <w:t>Development</w:t>
      </w:r>
      <w:proofErr w:type="spellEnd"/>
      <w:r w:rsidRPr="00D1383A">
        <w:rPr>
          <w:i/>
          <w:szCs w:val="24"/>
        </w:rPr>
        <w:t xml:space="preserve"> </w:t>
      </w:r>
      <w:proofErr w:type="spellStart"/>
      <w:r w:rsidRPr="00D1383A">
        <w:rPr>
          <w:i/>
          <w:szCs w:val="24"/>
        </w:rPr>
        <w:t>Review</w:t>
      </w:r>
      <w:proofErr w:type="spellEnd"/>
      <w:r w:rsidRPr="00D1383A">
        <w:rPr>
          <w:i/>
          <w:szCs w:val="24"/>
        </w:rPr>
        <w:t>, 25(3), 358–369.</w:t>
      </w:r>
    </w:p>
    <w:p w:rsidR="00FF71CD" w:rsidRPr="00D1383A" w:rsidRDefault="009C2C8B" w:rsidP="00D1383A">
      <w:pPr>
        <w:spacing w:afterLines="40" w:after="96"/>
        <w:ind w:left="284" w:hanging="284"/>
        <w:rPr>
          <w:i/>
          <w:szCs w:val="24"/>
        </w:rPr>
      </w:pPr>
      <w:r w:rsidRPr="00D1383A">
        <w:rPr>
          <w:i/>
          <w:szCs w:val="24"/>
        </w:rPr>
        <w:t xml:space="preserve">Organización para la Cooperación y el Desarrollo Económicos [OCDE] (2004). Principios de Buen Gobierno Corporativo de la OCDE. Recuperado de </w:t>
      </w:r>
      <w:r w:rsidR="00FF71CD" w:rsidRPr="00D1383A">
        <w:rPr>
          <w:i/>
          <w:szCs w:val="24"/>
        </w:rPr>
        <w:t xml:space="preserve">https://www.oecd.org/daf/ca/corporategovernanceprinciples/37191543.pdf </w:t>
      </w:r>
    </w:p>
    <w:p w:rsidR="00FF71CD" w:rsidRPr="00D1383A" w:rsidRDefault="00FF71CD" w:rsidP="00D1383A">
      <w:pPr>
        <w:spacing w:afterLines="40" w:after="96"/>
        <w:ind w:left="284" w:hanging="284"/>
        <w:rPr>
          <w:i/>
          <w:szCs w:val="24"/>
        </w:rPr>
      </w:pPr>
      <w:proofErr w:type="spellStart"/>
      <w:r w:rsidRPr="00D1383A">
        <w:rPr>
          <w:i/>
          <w:szCs w:val="24"/>
        </w:rPr>
        <w:t>Pouraghajan</w:t>
      </w:r>
      <w:proofErr w:type="spellEnd"/>
      <w:r w:rsidRPr="00D1383A">
        <w:rPr>
          <w:i/>
          <w:szCs w:val="24"/>
        </w:rPr>
        <w:t xml:space="preserve">, A., &amp; </w:t>
      </w:r>
      <w:proofErr w:type="spellStart"/>
      <w:r w:rsidRPr="00D1383A">
        <w:rPr>
          <w:i/>
          <w:szCs w:val="24"/>
        </w:rPr>
        <w:t>Malekian</w:t>
      </w:r>
      <w:proofErr w:type="spellEnd"/>
      <w:r w:rsidRPr="00D1383A">
        <w:rPr>
          <w:i/>
          <w:szCs w:val="24"/>
        </w:rPr>
        <w:t xml:space="preserve">, E. (2012). </w:t>
      </w:r>
      <w:proofErr w:type="spellStart"/>
      <w:r w:rsidRPr="00D1383A">
        <w:rPr>
          <w:i/>
          <w:szCs w:val="24"/>
        </w:rPr>
        <w:t>The</w:t>
      </w:r>
      <w:proofErr w:type="spellEnd"/>
      <w:r w:rsidRPr="00D1383A">
        <w:rPr>
          <w:i/>
          <w:szCs w:val="24"/>
        </w:rPr>
        <w:t xml:space="preserve"> </w:t>
      </w:r>
      <w:proofErr w:type="spellStart"/>
      <w:r w:rsidRPr="00D1383A">
        <w:rPr>
          <w:i/>
          <w:szCs w:val="24"/>
        </w:rPr>
        <w:t>relationship</w:t>
      </w:r>
      <w:proofErr w:type="spellEnd"/>
      <w:r w:rsidRPr="00D1383A">
        <w:rPr>
          <w:i/>
          <w:szCs w:val="24"/>
        </w:rPr>
        <w:t xml:space="preserve"> </w:t>
      </w:r>
      <w:proofErr w:type="spellStart"/>
      <w:r w:rsidRPr="00D1383A">
        <w:rPr>
          <w:i/>
          <w:szCs w:val="24"/>
        </w:rPr>
        <w:t>between</w:t>
      </w:r>
      <w:proofErr w:type="spellEnd"/>
      <w:r w:rsidRPr="00D1383A">
        <w:rPr>
          <w:i/>
          <w:szCs w:val="24"/>
        </w:rPr>
        <w:t xml:space="preserve"> capital </w:t>
      </w:r>
      <w:proofErr w:type="spellStart"/>
      <w:r w:rsidRPr="00D1383A">
        <w:rPr>
          <w:i/>
          <w:szCs w:val="24"/>
        </w:rPr>
        <w:t>structure</w:t>
      </w:r>
      <w:proofErr w:type="spellEnd"/>
      <w:r w:rsidRPr="00D1383A">
        <w:rPr>
          <w:i/>
          <w:szCs w:val="24"/>
        </w:rPr>
        <w:t xml:space="preserve"> and </w:t>
      </w:r>
      <w:proofErr w:type="spellStart"/>
      <w:r w:rsidRPr="00D1383A">
        <w:rPr>
          <w:i/>
          <w:szCs w:val="24"/>
        </w:rPr>
        <w:t>firm</w:t>
      </w:r>
      <w:proofErr w:type="spellEnd"/>
      <w:r w:rsidRPr="00D1383A">
        <w:rPr>
          <w:i/>
          <w:szCs w:val="24"/>
        </w:rPr>
        <w:t xml:space="preserve"> performance </w:t>
      </w:r>
      <w:proofErr w:type="spellStart"/>
      <w:r w:rsidRPr="00D1383A">
        <w:rPr>
          <w:i/>
          <w:szCs w:val="24"/>
        </w:rPr>
        <w:t>evaluation</w:t>
      </w:r>
      <w:proofErr w:type="spellEnd"/>
      <w:r w:rsidRPr="00D1383A">
        <w:rPr>
          <w:i/>
          <w:szCs w:val="24"/>
        </w:rPr>
        <w:t xml:space="preserve"> </w:t>
      </w:r>
      <w:proofErr w:type="spellStart"/>
      <w:r w:rsidRPr="00D1383A">
        <w:rPr>
          <w:i/>
          <w:szCs w:val="24"/>
        </w:rPr>
        <w:t>measures</w:t>
      </w:r>
      <w:proofErr w:type="spellEnd"/>
      <w:r w:rsidRPr="00D1383A">
        <w:rPr>
          <w:i/>
          <w:szCs w:val="24"/>
        </w:rPr>
        <w:t xml:space="preserve">: </w:t>
      </w:r>
      <w:proofErr w:type="spellStart"/>
      <w:r w:rsidRPr="00D1383A">
        <w:rPr>
          <w:i/>
          <w:szCs w:val="24"/>
        </w:rPr>
        <w:t>Evidence</w:t>
      </w:r>
      <w:proofErr w:type="spellEnd"/>
      <w:r w:rsidRPr="00D1383A">
        <w:rPr>
          <w:i/>
          <w:szCs w:val="24"/>
        </w:rPr>
        <w:t xml:space="preserve"> </w:t>
      </w:r>
      <w:proofErr w:type="spellStart"/>
      <w:r w:rsidRPr="00D1383A">
        <w:rPr>
          <w:i/>
          <w:szCs w:val="24"/>
        </w:rPr>
        <w:t>from</w:t>
      </w:r>
      <w:proofErr w:type="spellEnd"/>
      <w:r w:rsidRPr="00D1383A">
        <w:rPr>
          <w:i/>
          <w:szCs w:val="24"/>
        </w:rPr>
        <w:t xml:space="preserve"> </w:t>
      </w:r>
      <w:proofErr w:type="spellStart"/>
      <w:r w:rsidRPr="00D1383A">
        <w:rPr>
          <w:i/>
          <w:szCs w:val="24"/>
        </w:rPr>
        <w:t>the</w:t>
      </w:r>
      <w:proofErr w:type="spellEnd"/>
      <w:r w:rsidRPr="00D1383A">
        <w:rPr>
          <w:i/>
          <w:szCs w:val="24"/>
        </w:rPr>
        <w:t xml:space="preserve"> </w:t>
      </w:r>
      <w:proofErr w:type="spellStart"/>
      <w:r w:rsidRPr="00D1383A">
        <w:rPr>
          <w:i/>
          <w:szCs w:val="24"/>
        </w:rPr>
        <w:t>Tehran</w:t>
      </w:r>
      <w:proofErr w:type="spellEnd"/>
      <w:r w:rsidRPr="00D1383A">
        <w:rPr>
          <w:i/>
          <w:szCs w:val="24"/>
        </w:rPr>
        <w:t xml:space="preserve"> stock </w:t>
      </w:r>
      <w:proofErr w:type="spellStart"/>
      <w:r w:rsidRPr="00D1383A">
        <w:rPr>
          <w:i/>
          <w:szCs w:val="24"/>
        </w:rPr>
        <w:t>exchange</w:t>
      </w:r>
      <w:proofErr w:type="spellEnd"/>
      <w:r w:rsidRPr="00D1383A">
        <w:rPr>
          <w:i/>
          <w:szCs w:val="24"/>
        </w:rPr>
        <w:t xml:space="preserve">. International </w:t>
      </w:r>
      <w:proofErr w:type="spellStart"/>
      <w:r w:rsidRPr="00D1383A">
        <w:rPr>
          <w:i/>
          <w:szCs w:val="24"/>
        </w:rPr>
        <w:t>Journal</w:t>
      </w:r>
      <w:proofErr w:type="spellEnd"/>
      <w:r w:rsidRPr="00D1383A">
        <w:rPr>
          <w:i/>
          <w:szCs w:val="24"/>
        </w:rPr>
        <w:t xml:space="preserve"> of Business and Commerce, 1(9), 166–181. </w:t>
      </w:r>
    </w:p>
    <w:p w:rsidR="00FF71CD" w:rsidRPr="00D1383A" w:rsidRDefault="00FF71CD" w:rsidP="00D1383A">
      <w:pPr>
        <w:spacing w:afterLines="40" w:after="96"/>
        <w:ind w:left="284" w:hanging="284"/>
        <w:rPr>
          <w:i/>
          <w:szCs w:val="24"/>
        </w:rPr>
      </w:pPr>
      <w:proofErr w:type="spellStart"/>
      <w:r w:rsidRPr="00D1383A">
        <w:rPr>
          <w:i/>
          <w:szCs w:val="24"/>
        </w:rPr>
        <w:t>Quang</w:t>
      </w:r>
      <w:proofErr w:type="spellEnd"/>
      <w:r w:rsidRPr="00D1383A">
        <w:rPr>
          <w:i/>
          <w:szCs w:val="24"/>
        </w:rPr>
        <w:t xml:space="preserve">, D.X., &amp; </w:t>
      </w:r>
      <w:proofErr w:type="spellStart"/>
      <w:r w:rsidRPr="00D1383A">
        <w:rPr>
          <w:i/>
          <w:szCs w:val="24"/>
        </w:rPr>
        <w:t>Xin</w:t>
      </w:r>
      <w:proofErr w:type="spellEnd"/>
      <w:r w:rsidRPr="00D1383A">
        <w:rPr>
          <w:i/>
          <w:szCs w:val="24"/>
        </w:rPr>
        <w:t xml:space="preserve">, W.Z. (2014). </w:t>
      </w:r>
      <w:proofErr w:type="spellStart"/>
      <w:r w:rsidRPr="00D1383A">
        <w:rPr>
          <w:i/>
          <w:szCs w:val="24"/>
        </w:rPr>
        <w:t>The</w:t>
      </w:r>
      <w:proofErr w:type="spellEnd"/>
      <w:r w:rsidRPr="00D1383A">
        <w:rPr>
          <w:i/>
          <w:szCs w:val="24"/>
        </w:rPr>
        <w:t xml:space="preserve"> </w:t>
      </w:r>
      <w:proofErr w:type="spellStart"/>
      <w:r w:rsidRPr="00D1383A">
        <w:rPr>
          <w:i/>
          <w:szCs w:val="24"/>
        </w:rPr>
        <w:t>impact</w:t>
      </w:r>
      <w:proofErr w:type="spellEnd"/>
      <w:r w:rsidRPr="00D1383A">
        <w:rPr>
          <w:i/>
          <w:szCs w:val="24"/>
        </w:rPr>
        <w:t xml:space="preserve"> of </w:t>
      </w:r>
      <w:proofErr w:type="spellStart"/>
      <w:r w:rsidRPr="00D1383A">
        <w:rPr>
          <w:i/>
          <w:szCs w:val="24"/>
        </w:rPr>
        <w:t>ownership</w:t>
      </w:r>
      <w:proofErr w:type="spellEnd"/>
      <w:r w:rsidRPr="00D1383A">
        <w:rPr>
          <w:i/>
          <w:szCs w:val="24"/>
        </w:rPr>
        <w:t xml:space="preserve"> </w:t>
      </w:r>
      <w:proofErr w:type="spellStart"/>
      <w:r w:rsidRPr="00D1383A">
        <w:rPr>
          <w:i/>
          <w:szCs w:val="24"/>
        </w:rPr>
        <w:t>structure</w:t>
      </w:r>
      <w:proofErr w:type="spellEnd"/>
      <w:r w:rsidRPr="00D1383A">
        <w:rPr>
          <w:i/>
          <w:szCs w:val="24"/>
        </w:rPr>
        <w:t xml:space="preserve"> and capital </w:t>
      </w:r>
      <w:proofErr w:type="spellStart"/>
      <w:r w:rsidRPr="00D1383A">
        <w:rPr>
          <w:i/>
          <w:szCs w:val="24"/>
        </w:rPr>
        <w:t>structure</w:t>
      </w:r>
      <w:proofErr w:type="spellEnd"/>
      <w:r w:rsidRPr="00D1383A">
        <w:rPr>
          <w:i/>
          <w:szCs w:val="24"/>
        </w:rPr>
        <w:t xml:space="preserve"> </w:t>
      </w:r>
      <w:proofErr w:type="spellStart"/>
      <w:r w:rsidRPr="00D1383A">
        <w:rPr>
          <w:i/>
          <w:szCs w:val="24"/>
        </w:rPr>
        <w:t>on</w:t>
      </w:r>
      <w:proofErr w:type="spellEnd"/>
      <w:r w:rsidRPr="00D1383A">
        <w:rPr>
          <w:i/>
          <w:szCs w:val="24"/>
        </w:rPr>
        <w:t xml:space="preserve"> </w:t>
      </w:r>
      <w:proofErr w:type="spellStart"/>
      <w:r w:rsidRPr="00D1383A">
        <w:rPr>
          <w:i/>
          <w:szCs w:val="24"/>
        </w:rPr>
        <w:t>financial</w:t>
      </w:r>
      <w:proofErr w:type="spellEnd"/>
      <w:r w:rsidRPr="00D1383A">
        <w:rPr>
          <w:i/>
          <w:szCs w:val="24"/>
        </w:rPr>
        <w:t xml:space="preserve"> performance of </w:t>
      </w:r>
      <w:proofErr w:type="spellStart"/>
      <w:r w:rsidRPr="00D1383A">
        <w:rPr>
          <w:i/>
          <w:szCs w:val="24"/>
        </w:rPr>
        <w:t>Vietnamese</w:t>
      </w:r>
      <w:proofErr w:type="spellEnd"/>
      <w:r w:rsidRPr="00D1383A">
        <w:rPr>
          <w:i/>
          <w:szCs w:val="24"/>
        </w:rPr>
        <w:t xml:space="preserve"> </w:t>
      </w:r>
      <w:proofErr w:type="spellStart"/>
      <w:r w:rsidRPr="00D1383A">
        <w:rPr>
          <w:i/>
          <w:szCs w:val="24"/>
        </w:rPr>
        <w:t>firms</w:t>
      </w:r>
      <w:proofErr w:type="spellEnd"/>
      <w:r w:rsidRPr="00D1383A">
        <w:rPr>
          <w:i/>
          <w:szCs w:val="24"/>
        </w:rPr>
        <w:t xml:space="preserve">. International Business </w:t>
      </w:r>
      <w:proofErr w:type="spellStart"/>
      <w:r w:rsidRPr="00D1383A">
        <w:rPr>
          <w:i/>
          <w:szCs w:val="24"/>
        </w:rPr>
        <w:t>Research</w:t>
      </w:r>
      <w:proofErr w:type="spellEnd"/>
      <w:r w:rsidRPr="00D1383A">
        <w:rPr>
          <w:i/>
          <w:szCs w:val="24"/>
        </w:rPr>
        <w:t xml:space="preserve">, 7(2), 64–71. </w:t>
      </w:r>
    </w:p>
    <w:p w:rsidR="00FF71CD" w:rsidRPr="00D1383A" w:rsidRDefault="00FF71CD" w:rsidP="00D1383A">
      <w:pPr>
        <w:spacing w:afterLines="40" w:after="96"/>
        <w:ind w:left="284" w:hanging="284"/>
        <w:rPr>
          <w:i/>
          <w:szCs w:val="24"/>
        </w:rPr>
      </w:pPr>
      <w:proofErr w:type="spellStart"/>
      <w:r w:rsidRPr="00D1383A">
        <w:rPr>
          <w:i/>
          <w:szCs w:val="24"/>
        </w:rPr>
        <w:t>Ramachandran</w:t>
      </w:r>
      <w:proofErr w:type="spellEnd"/>
      <w:r w:rsidRPr="00D1383A">
        <w:rPr>
          <w:i/>
          <w:szCs w:val="24"/>
        </w:rPr>
        <w:t xml:space="preserve">, A., &amp; </w:t>
      </w:r>
      <w:proofErr w:type="spellStart"/>
      <w:r w:rsidRPr="00D1383A">
        <w:rPr>
          <w:i/>
          <w:szCs w:val="24"/>
        </w:rPr>
        <w:t>Candasamy</w:t>
      </w:r>
      <w:proofErr w:type="spellEnd"/>
      <w:r w:rsidRPr="00D1383A">
        <w:rPr>
          <w:i/>
          <w:szCs w:val="24"/>
        </w:rPr>
        <w:t xml:space="preserve">, G. (2011). </w:t>
      </w:r>
      <w:proofErr w:type="spellStart"/>
      <w:r w:rsidRPr="00D1383A">
        <w:rPr>
          <w:i/>
          <w:szCs w:val="24"/>
        </w:rPr>
        <w:t>The</w:t>
      </w:r>
      <w:proofErr w:type="spellEnd"/>
      <w:r w:rsidRPr="00D1383A">
        <w:rPr>
          <w:i/>
          <w:szCs w:val="24"/>
        </w:rPr>
        <w:t xml:space="preserve"> </w:t>
      </w:r>
      <w:proofErr w:type="spellStart"/>
      <w:r w:rsidRPr="00D1383A">
        <w:rPr>
          <w:i/>
          <w:szCs w:val="24"/>
        </w:rPr>
        <w:t>impact</w:t>
      </w:r>
      <w:proofErr w:type="spellEnd"/>
      <w:r w:rsidRPr="00D1383A">
        <w:rPr>
          <w:i/>
          <w:szCs w:val="24"/>
        </w:rPr>
        <w:t xml:space="preserve"> of capital </w:t>
      </w:r>
      <w:proofErr w:type="spellStart"/>
      <w:r w:rsidRPr="00D1383A">
        <w:rPr>
          <w:i/>
          <w:szCs w:val="24"/>
        </w:rPr>
        <w:t>structure</w:t>
      </w:r>
      <w:proofErr w:type="spellEnd"/>
      <w:r w:rsidRPr="00D1383A">
        <w:rPr>
          <w:i/>
          <w:szCs w:val="24"/>
        </w:rPr>
        <w:t xml:space="preserve"> </w:t>
      </w:r>
      <w:proofErr w:type="spellStart"/>
      <w:r w:rsidRPr="00D1383A">
        <w:rPr>
          <w:i/>
          <w:szCs w:val="24"/>
        </w:rPr>
        <w:t>on</w:t>
      </w:r>
      <w:proofErr w:type="spellEnd"/>
      <w:r w:rsidRPr="00D1383A">
        <w:rPr>
          <w:i/>
          <w:szCs w:val="24"/>
        </w:rPr>
        <w:t xml:space="preserve"> </w:t>
      </w:r>
      <w:proofErr w:type="spellStart"/>
      <w:r w:rsidRPr="00D1383A">
        <w:rPr>
          <w:i/>
          <w:szCs w:val="24"/>
        </w:rPr>
        <w:t>profitability</w:t>
      </w:r>
      <w:proofErr w:type="spellEnd"/>
      <w:r w:rsidRPr="00D1383A">
        <w:rPr>
          <w:i/>
          <w:szCs w:val="24"/>
        </w:rPr>
        <w:t xml:space="preserve"> </w:t>
      </w:r>
      <w:proofErr w:type="spellStart"/>
      <w:r w:rsidRPr="00D1383A">
        <w:rPr>
          <w:i/>
          <w:szCs w:val="24"/>
        </w:rPr>
        <w:t>with</w:t>
      </w:r>
      <w:proofErr w:type="spellEnd"/>
      <w:r w:rsidRPr="00D1383A">
        <w:rPr>
          <w:i/>
          <w:szCs w:val="24"/>
        </w:rPr>
        <w:t xml:space="preserve"> </w:t>
      </w:r>
      <w:proofErr w:type="spellStart"/>
      <w:r w:rsidRPr="00D1383A">
        <w:rPr>
          <w:i/>
          <w:szCs w:val="24"/>
        </w:rPr>
        <w:t>special</w:t>
      </w:r>
      <w:proofErr w:type="spellEnd"/>
      <w:r w:rsidRPr="00D1383A">
        <w:rPr>
          <w:i/>
          <w:szCs w:val="24"/>
        </w:rPr>
        <w:t xml:space="preserve"> </w:t>
      </w:r>
      <w:proofErr w:type="spellStart"/>
      <w:r w:rsidRPr="00D1383A">
        <w:rPr>
          <w:i/>
          <w:szCs w:val="24"/>
        </w:rPr>
        <w:t>reference</w:t>
      </w:r>
      <w:proofErr w:type="spellEnd"/>
      <w:r w:rsidRPr="00D1383A">
        <w:rPr>
          <w:i/>
          <w:szCs w:val="24"/>
        </w:rPr>
        <w:t xml:space="preserve"> to IT </w:t>
      </w:r>
      <w:proofErr w:type="spellStart"/>
      <w:r w:rsidRPr="00D1383A">
        <w:rPr>
          <w:i/>
          <w:szCs w:val="24"/>
        </w:rPr>
        <w:t>industry</w:t>
      </w:r>
      <w:proofErr w:type="spellEnd"/>
      <w:r w:rsidRPr="00D1383A">
        <w:rPr>
          <w:i/>
          <w:szCs w:val="24"/>
        </w:rPr>
        <w:t xml:space="preserve"> in India vs. </w:t>
      </w:r>
      <w:proofErr w:type="spellStart"/>
      <w:proofErr w:type="gramStart"/>
      <w:r w:rsidRPr="00D1383A">
        <w:rPr>
          <w:i/>
          <w:szCs w:val="24"/>
        </w:rPr>
        <w:t>domestic</w:t>
      </w:r>
      <w:proofErr w:type="spellEnd"/>
      <w:proofErr w:type="gramEnd"/>
      <w:r w:rsidRPr="00D1383A">
        <w:rPr>
          <w:i/>
          <w:szCs w:val="24"/>
        </w:rPr>
        <w:t xml:space="preserve"> </w:t>
      </w:r>
      <w:proofErr w:type="spellStart"/>
      <w:r w:rsidRPr="00D1383A">
        <w:rPr>
          <w:i/>
          <w:szCs w:val="24"/>
        </w:rPr>
        <w:t>products</w:t>
      </w:r>
      <w:proofErr w:type="spellEnd"/>
      <w:r w:rsidRPr="00D1383A">
        <w:rPr>
          <w:i/>
          <w:szCs w:val="24"/>
        </w:rPr>
        <w:t xml:space="preserve">. </w:t>
      </w:r>
      <w:proofErr w:type="spellStart"/>
      <w:r w:rsidRPr="00D1383A">
        <w:rPr>
          <w:i/>
          <w:szCs w:val="24"/>
        </w:rPr>
        <w:t>Managing</w:t>
      </w:r>
      <w:proofErr w:type="spellEnd"/>
      <w:r w:rsidRPr="00D1383A">
        <w:rPr>
          <w:i/>
          <w:szCs w:val="24"/>
        </w:rPr>
        <w:t xml:space="preserve"> Global </w:t>
      </w:r>
      <w:proofErr w:type="spellStart"/>
      <w:r w:rsidRPr="00D1383A">
        <w:rPr>
          <w:i/>
          <w:szCs w:val="24"/>
        </w:rPr>
        <w:t>Transitions</w:t>
      </w:r>
      <w:proofErr w:type="spellEnd"/>
      <w:r w:rsidRPr="00D1383A">
        <w:rPr>
          <w:i/>
          <w:szCs w:val="24"/>
        </w:rPr>
        <w:t>, 9(4), 371–392.</w:t>
      </w:r>
    </w:p>
    <w:p w:rsidR="00FF71CD" w:rsidRPr="00D1383A" w:rsidRDefault="00DA20EC" w:rsidP="00D1383A">
      <w:pPr>
        <w:spacing w:afterLines="40" w:after="96"/>
        <w:ind w:left="284" w:hanging="284"/>
        <w:rPr>
          <w:rFonts w:eastAsia="Times New Roman"/>
          <w:i/>
          <w:color w:val="222222"/>
          <w:szCs w:val="24"/>
          <w:lang w:val="en-US" w:eastAsia="es-PE"/>
        </w:rPr>
      </w:pPr>
      <w:proofErr w:type="spellStart"/>
      <w:r w:rsidRPr="00D1383A">
        <w:rPr>
          <w:rFonts w:eastAsia="Times New Roman"/>
          <w:i/>
          <w:color w:val="222222"/>
          <w:szCs w:val="24"/>
          <w:lang w:val="en-US" w:eastAsia="es-PE"/>
        </w:rPr>
        <w:t>Ramírez</w:t>
      </w:r>
      <w:proofErr w:type="spellEnd"/>
      <w:r w:rsidRPr="00D1383A">
        <w:rPr>
          <w:rFonts w:eastAsia="Times New Roman"/>
          <w:i/>
          <w:color w:val="222222"/>
          <w:szCs w:val="24"/>
          <w:lang w:val="en-US" w:eastAsia="es-PE"/>
        </w:rPr>
        <w:t xml:space="preserve">, A. A. R., y de </w:t>
      </w:r>
      <w:proofErr w:type="spellStart"/>
      <w:r w:rsidRPr="00D1383A">
        <w:rPr>
          <w:rFonts w:eastAsia="Times New Roman"/>
          <w:i/>
          <w:color w:val="222222"/>
          <w:szCs w:val="24"/>
          <w:lang w:val="en-US" w:eastAsia="es-PE"/>
        </w:rPr>
        <w:t>Lema</w:t>
      </w:r>
      <w:proofErr w:type="spellEnd"/>
      <w:r w:rsidRPr="00D1383A">
        <w:rPr>
          <w:rFonts w:eastAsia="Times New Roman"/>
          <w:i/>
          <w:color w:val="222222"/>
          <w:szCs w:val="24"/>
          <w:lang w:val="en-US" w:eastAsia="es-PE"/>
        </w:rPr>
        <w:t xml:space="preserve">, D. G. P. (2006). La </w:t>
      </w:r>
      <w:proofErr w:type="spellStart"/>
      <w:r w:rsidRPr="00D1383A">
        <w:rPr>
          <w:rFonts w:eastAsia="Times New Roman"/>
          <w:i/>
          <w:color w:val="222222"/>
          <w:szCs w:val="24"/>
          <w:lang w:val="en-US" w:eastAsia="es-PE"/>
        </w:rPr>
        <w:t>valoración</w:t>
      </w:r>
      <w:proofErr w:type="spellEnd"/>
      <w:r w:rsidRPr="00D1383A">
        <w:rPr>
          <w:rFonts w:eastAsia="Times New Roman"/>
          <w:i/>
          <w:color w:val="222222"/>
          <w:szCs w:val="24"/>
          <w:lang w:val="en-US" w:eastAsia="es-PE"/>
        </w:rPr>
        <w:t xml:space="preserve"> de </w:t>
      </w:r>
      <w:proofErr w:type="spellStart"/>
      <w:r w:rsidRPr="00D1383A">
        <w:rPr>
          <w:rFonts w:eastAsia="Times New Roman"/>
          <w:i/>
          <w:color w:val="222222"/>
          <w:szCs w:val="24"/>
          <w:lang w:val="en-US" w:eastAsia="es-PE"/>
        </w:rPr>
        <w:t>empresas</w:t>
      </w:r>
      <w:proofErr w:type="spellEnd"/>
      <w:r w:rsidRPr="00D1383A">
        <w:rPr>
          <w:rFonts w:eastAsia="Times New Roman"/>
          <w:i/>
          <w:color w:val="222222"/>
          <w:szCs w:val="24"/>
          <w:lang w:val="en-US" w:eastAsia="es-PE"/>
        </w:rPr>
        <w:t xml:space="preserve"> </w:t>
      </w:r>
      <w:proofErr w:type="spellStart"/>
      <w:r w:rsidRPr="00D1383A">
        <w:rPr>
          <w:rFonts w:eastAsia="Times New Roman"/>
          <w:i/>
          <w:color w:val="222222"/>
          <w:szCs w:val="24"/>
          <w:lang w:val="en-US" w:eastAsia="es-PE"/>
        </w:rPr>
        <w:t>en</w:t>
      </w:r>
      <w:proofErr w:type="spellEnd"/>
      <w:r w:rsidRPr="00D1383A">
        <w:rPr>
          <w:rFonts w:eastAsia="Times New Roman"/>
          <w:i/>
          <w:color w:val="222222"/>
          <w:szCs w:val="24"/>
          <w:lang w:val="en-US" w:eastAsia="es-PE"/>
        </w:rPr>
        <w:t xml:space="preserve"> </w:t>
      </w:r>
      <w:proofErr w:type="spellStart"/>
      <w:r w:rsidRPr="00D1383A">
        <w:rPr>
          <w:rFonts w:eastAsia="Times New Roman"/>
          <w:i/>
          <w:color w:val="222222"/>
          <w:szCs w:val="24"/>
          <w:lang w:val="en-US" w:eastAsia="es-PE"/>
        </w:rPr>
        <w:t>España</w:t>
      </w:r>
      <w:proofErr w:type="spellEnd"/>
      <w:r w:rsidRPr="00D1383A">
        <w:rPr>
          <w:rFonts w:eastAsia="Times New Roman"/>
          <w:i/>
          <w:color w:val="222222"/>
          <w:szCs w:val="24"/>
          <w:lang w:val="en-US" w:eastAsia="es-PE"/>
        </w:rPr>
        <w:t xml:space="preserve">: </w:t>
      </w:r>
      <w:proofErr w:type="gramStart"/>
      <w:r w:rsidRPr="00D1383A">
        <w:rPr>
          <w:rFonts w:eastAsia="Times New Roman"/>
          <w:i/>
          <w:color w:val="222222"/>
          <w:szCs w:val="24"/>
          <w:lang w:val="en-US" w:eastAsia="es-PE"/>
        </w:rPr>
        <w:t>un</w:t>
      </w:r>
      <w:proofErr w:type="gramEnd"/>
      <w:r w:rsidRPr="00D1383A">
        <w:rPr>
          <w:rFonts w:eastAsia="Times New Roman"/>
          <w:i/>
          <w:color w:val="222222"/>
          <w:szCs w:val="24"/>
          <w:lang w:val="en-US" w:eastAsia="es-PE"/>
        </w:rPr>
        <w:t xml:space="preserve"> </w:t>
      </w:r>
      <w:proofErr w:type="spellStart"/>
      <w:r w:rsidRPr="00D1383A">
        <w:rPr>
          <w:rFonts w:eastAsia="Times New Roman"/>
          <w:i/>
          <w:color w:val="222222"/>
          <w:szCs w:val="24"/>
          <w:lang w:val="en-US" w:eastAsia="es-PE"/>
        </w:rPr>
        <w:t>estudio</w:t>
      </w:r>
      <w:proofErr w:type="spellEnd"/>
      <w:r w:rsidRPr="00D1383A">
        <w:rPr>
          <w:rFonts w:eastAsia="Times New Roman"/>
          <w:i/>
          <w:color w:val="222222"/>
          <w:szCs w:val="24"/>
          <w:lang w:val="en-US" w:eastAsia="es-PE"/>
        </w:rPr>
        <w:t xml:space="preserve"> </w:t>
      </w:r>
      <w:proofErr w:type="spellStart"/>
      <w:r w:rsidRPr="00D1383A">
        <w:rPr>
          <w:rFonts w:eastAsia="Times New Roman"/>
          <w:i/>
          <w:color w:val="222222"/>
          <w:szCs w:val="24"/>
          <w:lang w:val="en-US" w:eastAsia="es-PE"/>
        </w:rPr>
        <w:t>empírico</w:t>
      </w:r>
      <w:proofErr w:type="spellEnd"/>
      <w:r w:rsidRPr="00D1383A">
        <w:rPr>
          <w:rFonts w:eastAsia="Times New Roman"/>
          <w:i/>
          <w:color w:val="222222"/>
          <w:szCs w:val="24"/>
          <w:lang w:val="en-US" w:eastAsia="es-PE"/>
        </w:rPr>
        <w:t xml:space="preserve">.  Española de </w:t>
      </w:r>
      <w:proofErr w:type="spellStart"/>
      <w:r w:rsidRPr="00D1383A">
        <w:rPr>
          <w:rFonts w:eastAsia="Times New Roman"/>
          <w:i/>
          <w:color w:val="222222"/>
          <w:szCs w:val="24"/>
          <w:lang w:val="en-US" w:eastAsia="es-PE"/>
        </w:rPr>
        <w:t>Financiación</w:t>
      </w:r>
      <w:proofErr w:type="spellEnd"/>
      <w:r w:rsidRPr="00D1383A">
        <w:rPr>
          <w:rFonts w:eastAsia="Times New Roman"/>
          <w:i/>
          <w:color w:val="222222"/>
          <w:szCs w:val="24"/>
          <w:lang w:val="en-US" w:eastAsia="es-PE"/>
        </w:rPr>
        <w:t xml:space="preserve"> y </w:t>
      </w:r>
      <w:proofErr w:type="spellStart"/>
      <w:r w:rsidRPr="00D1383A">
        <w:rPr>
          <w:rFonts w:eastAsia="Times New Roman"/>
          <w:i/>
          <w:color w:val="222222"/>
          <w:szCs w:val="24"/>
          <w:lang w:val="en-US" w:eastAsia="es-PE"/>
        </w:rPr>
        <w:t>Contabilidad</w:t>
      </w:r>
      <w:proofErr w:type="spellEnd"/>
      <w:r w:rsidRPr="00D1383A">
        <w:rPr>
          <w:rFonts w:eastAsia="Times New Roman"/>
          <w:i/>
          <w:color w:val="222222"/>
          <w:szCs w:val="24"/>
          <w:lang w:val="en-US" w:eastAsia="es-PE"/>
        </w:rPr>
        <w:t>, 35(132), 913-934.</w:t>
      </w:r>
    </w:p>
    <w:p w:rsidR="009C2C8B" w:rsidRPr="00D1383A" w:rsidRDefault="009C2C8B" w:rsidP="00D1383A">
      <w:pPr>
        <w:spacing w:afterLines="40" w:after="96"/>
        <w:ind w:left="284" w:hanging="284"/>
        <w:rPr>
          <w:i/>
          <w:szCs w:val="24"/>
        </w:rPr>
      </w:pPr>
      <w:r w:rsidRPr="00D1383A">
        <w:rPr>
          <w:i/>
          <w:szCs w:val="24"/>
        </w:rPr>
        <w:t>Real Academia Española. (2017). Investigador. En Diccionario de la lengua española (23.a ed.). Recuperado de http://dle.rae.es/?id=M3a7YOZ</w:t>
      </w:r>
    </w:p>
    <w:p w:rsidR="00AA04EA" w:rsidRPr="00D1383A" w:rsidRDefault="009C2C8B" w:rsidP="00D1383A">
      <w:pPr>
        <w:spacing w:afterLines="40" w:after="96"/>
        <w:ind w:left="284" w:hanging="284"/>
        <w:rPr>
          <w:i/>
          <w:szCs w:val="24"/>
        </w:rPr>
      </w:pPr>
      <w:proofErr w:type="spellStart"/>
      <w:r w:rsidRPr="00D1383A">
        <w:rPr>
          <w:i/>
          <w:szCs w:val="24"/>
        </w:rPr>
        <w:t>Reddy</w:t>
      </w:r>
      <w:proofErr w:type="spellEnd"/>
      <w:r w:rsidRPr="00D1383A">
        <w:rPr>
          <w:i/>
          <w:szCs w:val="24"/>
        </w:rPr>
        <w:t xml:space="preserve">, K., Locke, S. y </w:t>
      </w:r>
      <w:proofErr w:type="spellStart"/>
      <w:r w:rsidRPr="00D1383A">
        <w:rPr>
          <w:i/>
          <w:szCs w:val="24"/>
        </w:rPr>
        <w:t>Scrimgeour</w:t>
      </w:r>
      <w:proofErr w:type="spellEnd"/>
      <w:r w:rsidRPr="00D1383A">
        <w:rPr>
          <w:i/>
          <w:szCs w:val="24"/>
        </w:rPr>
        <w:t xml:space="preserve">, F. (2010). </w:t>
      </w:r>
      <w:proofErr w:type="spellStart"/>
      <w:r w:rsidRPr="00D1383A">
        <w:rPr>
          <w:i/>
          <w:szCs w:val="24"/>
        </w:rPr>
        <w:t>The</w:t>
      </w:r>
      <w:proofErr w:type="spellEnd"/>
      <w:r w:rsidRPr="00D1383A">
        <w:rPr>
          <w:i/>
          <w:szCs w:val="24"/>
        </w:rPr>
        <w:t xml:space="preserve"> </w:t>
      </w:r>
      <w:proofErr w:type="spellStart"/>
      <w:r w:rsidRPr="00D1383A">
        <w:rPr>
          <w:i/>
          <w:szCs w:val="24"/>
        </w:rPr>
        <w:t>efficacy</w:t>
      </w:r>
      <w:proofErr w:type="spellEnd"/>
      <w:r w:rsidRPr="00D1383A">
        <w:rPr>
          <w:i/>
          <w:szCs w:val="24"/>
        </w:rPr>
        <w:t xml:space="preserve"> of </w:t>
      </w:r>
      <w:proofErr w:type="spellStart"/>
      <w:r w:rsidRPr="00D1383A">
        <w:rPr>
          <w:i/>
          <w:szCs w:val="24"/>
        </w:rPr>
        <w:t>principle-based</w:t>
      </w:r>
      <w:proofErr w:type="spellEnd"/>
      <w:r w:rsidRPr="00D1383A">
        <w:rPr>
          <w:i/>
          <w:szCs w:val="24"/>
        </w:rPr>
        <w:t xml:space="preserve">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w:t>
      </w:r>
      <w:proofErr w:type="spellStart"/>
      <w:r w:rsidRPr="00D1383A">
        <w:rPr>
          <w:i/>
          <w:szCs w:val="24"/>
        </w:rPr>
        <w:t>practices</w:t>
      </w:r>
      <w:proofErr w:type="spellEnd"/>
      <w:r w:rsidRPr="00D1383A">
        <w:rPr>
          <w:i/>
          <w:szCs w:val="24"/>
        </w:rPr>
        <w:t xml:space="preserve"> and </w:t>
      </w:r>
      <w:proofErr w:type="spellStart"/>
      <w:r w:rsidRPr="00D1383A">
        <w:rPr>
          <w:i/>
          <w:szCs w:val="24"/>
        </w:rPr>
        <w:t>firm</w:t>
      </w:r>
      <w:proofErr w:type="spellEnd"/>
      <w:r w:rsidRPr="00D1383A">
        <w:rPr>
          <w:i/>
          <w:szCs w:val="24"/>
        </w:rPr>
        <w:t xml:space="preserve"> </w:t>
      </w:r>
      <w:proofErr w:type="spellStart"/>
      <w:r w:rsidRPr="00D1383A">
        <w:rPr>
          <w:i/>
          <w:szCs w:val="24"/>
        </w:rPr>
        <w:t>financial</w:t>
      </w:r>
      <w:proofErr w:type="spellEnd"/>
      <w:r w:rsidRPr="00D1383A">
        <w:rPr>
          <w:i/>
          <w:szCs w:val="24"/>
        </w:rPr>
        <w:t xml:space="preserve"> performance: </w:t>
      </w:r>
      <w:proofErr w:type="spellStart"/>
      <w:r w:rsidRPr="00D1383A">
        <w:rPr>
          <w:i/>
          <w:szCs w:val="24"/>
        </w:rPr>
        <w:t>An</w:t>
      </w:r>
      <w:proofErr w:type="spellEnd"/>
      <w:r w:rsidRPr="00D1383A">
        <w:rPr>
          <w:i/>
          <w:szCs w:val="24"/>
        </w:rPr>
        <w:t xml:space="preserve"> </w:t>
      </w:r>
      <w:proofErr w:type="spellStart"/>
      <w:r w:rsidRPr="00D1383A">
        <w:rPr>
          <w:i/>
          <w:szCs w:val="24"/>
        </w:rPr>
        <w:t>empirical</w:t>
      </w:r>
      <w:proofErr w:type="spellEnd"/>
      <w:r w:rsidRPr="00D1383A">
        <w:rPr>
          <w:i/>
          <w:szCs w:val="24"/>
        </w:rPr>
        <w:t xml:space="preserve"> </w:t>
      </w:r>
      <w:proofErr w:type="spellStart"/>
      <w:r w:rsidRPr="00D1383A">
        <w:rPr>
          <w:i/>
          <w:szCs w:val="24"/>
        </w:rPr>
        <w:t>investigation</w:t>
      </w:r>
      <w:proofErr w:type="spellEnd"/>
      <w:r w:rsidRPr="00D1383A">
        <w:rPr>
          <w:i/>
          <w:szCs w:val="24"/>
        </w:rPr>
        <w:t xml:space="preserve">. </w:t>
      </w:r>
      <w:proofErr w:type="spellStart"/>
      <w:r w:rsidRPr="00D1383A">
        <w:rPr>
          <w:i/>
          <w:szCs w:val="24"/>
        </w:rPr>
        <w:t>Interionational</w:t>
      </w:r>
      <w:proofErr w:type="spellEnd"/>
      <w:r w:rsidRPr="00D1383A">
        <w:rPr>
          <w:i/>
          <w:szCs w:val="24"/>
        </w:rPr>
        <w:t xml:space="preserve"> </w:t>
      </w:r>
      <w:proofErr w:type="spellStart"/>
      <w:r w:rsidRPr="00D1383A">
        <w:rPr>
          <w:i/>
          <w:szCs w:val="24"/>
        </w:rPr>
        <w:t>Journal</w:t>
      </w:r>
      <w:proofErr w:type="spellEnd"/>
      <w:r w:rsidRPr="00D1383A">
        <w:rPr>
          <w:i/>
          <w:szCs w:val="24"/>
        </w:rPr>
        <w:t xml:space="preserve"> of </w:t>
      </w:r>
      <w:proofErr w:type="spellStart"/>
      <w:r w:rsidRPr="00D1383A">
        <w:rPr>
          <w:i/>
          <w:szCs w:val="24"/>
        </w:rPr>
        <w:t>Managerial</w:t>
      </w:r>
      <w:proofErr w:type="spellEnd"/>
      <w:r w:rsidRPr="00D1383A">
        <w:rPr>
          <w:i/>
          <w:szCs w:val="24"/>
        </w:rPr>
        <w:t xml:space="preserve"> </w:t>
      </w:r>
      <w:proofErr w:type="spellStart"/>
      <w:r w:rsidRPr="00D1383A">
        <w:rPr>
          <w:i/>
          <w:szCs w:val="24"/>
        </w:rPr>
        <w:t>Finance</w:t>
      </w:r>
      <w:proofErr w:type="spellEnd"/>
      <w:r w:rsidRPr="00D1383A">
        <w:rPr>
          <w:i/>
          <w:szCs w:val="24"/>
        </w:rPr>
        <w:t xml:space="preserve">, 6(3), 190-219. </w:t>
      </w:r>
    </w:p>
    <w:p w:rsidR="009C2C8B" w:rsidRPr="00D1383A" w:rsidRDefault="00AA04EA" w:rsidP="00D1383A">
      <w:pPr>
        <w:spacing w:afterLines="40" w:after="96"/>
        <w:ind w:left="284" w:hanging="284"/>
        <w:rPr>
          <w:i/>
          <w:szCs w:val="24"/>
        </w:rPr>
      </w:pPr>
      <w:proofErr w:type="spellStart"/>
      <w:r w:rsidRPr="00D1383A">
        <w:rPr>
          <w:i/>
          <w:szCs w:val="24"/>
        </w:rPr>
        <w:t>Renders</w:t>
      </w:r>
      <w:proofErr w:type="spellEnd"/>
      <w:r w:rsidRPr="00D1383A">
        <w:rPr>
          <w:i/>
          <w:szCs w:val="24"/>
        </w:rPr>
        <w:t xml:space="preserve">, A. and </w:t>
      </w:r>
      <w:proofErr w:type="spellStart"/>
      <w:r w:rsidRPr="00D1383A">
        <w:rPr>
          <w:i/>
          <w:szCs w:val="24"/>
        </w:rPr>
        <w:t>Gaeremynck</w:t>
      </w:r>
      <w:proofErr w:type="spellEnd"/>
      <w:r w:rsidRPr="00D1383A">
        <w:rPr>
          <w:i/>
          <w:szCs w:val="24"/>
        </w:rPr>
        <w:t xml:space="preserve">, A. (2012),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Principal</w:t>
      </w:r>
      <w:r w:rsidRPr="00D1383A">
        <w:rPr>
          <w:rFonts w:ascii="Cambria Math" w:hAnsi="Cambria Math" w:cs="Cambria Math"/>
          <w:i/>
          <w:szCs w:val="24"/>
        </w:rPr>
        <w:t>‐</w:t>
      </w:r>
      <w:r w:rsidRPr="00D1383A">
        <w:rPr>
          <w:i/>
          <w:szCs w:val="24"/>
        </w:rPr>
        <w:t xml:space="preserve">Principal Agency </w:t>
      </w:r>
      <w:proofErr w:type="spellStart"/>
      <w:r w:rsidRPr="00D1383A">
        <w:rPr>
          <w:i/>
          <w:szCs w:val="24"/>
        </w:rPr>
        <w:t>Conflicts</w:t>
      </w:r>
      <w:proofErr w:type="spellEnd"/>
      <w:r w:rsidRPr="00D1383A">
        <w:rPr>
          <w:i/>
          <w:szCs w:val="24"/>
        </w:rPr>
        <w:t xml:space="preserve">, and </w:t>
      </w:r>
      <w:proofErr w:type="spellStart"/>
      <w:r w:rsidRPr="00D1383A">
        <w:rPr>
          <w:i/>
          <w:szCs w:val="24"/>
        </w:rPr>
        <w:t>Firm</w:t>
      </w:r>
      <w:proofErr w:type="spellEnd"/>
      <w:r w:rsidRPr="00D1383A">
        <w:rPr>
          <w:i/>
          <w:szCs w:val="24"/>
        </w:rPr>
        <w:t xml:space="preserve"> </w:t>
      </w:r>
      <w:proofErr w:type="spellStart"/>
      <w:r w:rsidRPr="00D1383A">
        <w:rPr>
          <w:i/>
          <w:szCs w:val="24"/>
        </w:rPr>
        <w:t>Value</w:t>
      </w:r>
      <w:proofErr w:type="spellEnd"/>
      <w:r w:rsidRPr="00D1383A">
        <w:rPr>
          <w:i/>
          <w:szCs w:val="24"/>
        </w:rPr>
        <w:t xml:space="preserve"> in </w:t>
      </w:r>
      <w:proofErr w:type="spellStart"/>
      <w:r w:rsidRPr="00D1383A">
        <w:rPr>
          <w:i/>
          <w:szCs w:val="24"/>
        </w:rPr>
        <w:t>European</w:t>
      </w:r>
      <w:proofErr w:type="spellEnd"/>
      <w:r w:rsidRPr="00D1383A">
        <w:rPr>
          <w:i/>
          <w:szCs w:val="24"/>
        </w:rPr>
        <w:t xml:space="preserve"> </w:t>
      </w:r>
      <w:proofErr w:type="spellStart"/>
      <w:r w:rsidRPr="00D1383A">
        <w:rPr>
          <w:i/>
          <w:szCs w:val="24"/>
        </w:rPr>
        <w:t>Listed</w:t>
      </w:r>
      <w:proofErr w:type="spellEnd"/>
      <w:r w:rsidRPr="00D1383A">
        <w:rPr>
          <w:i/>
          <w:szCs w:val="24"/>
        </w:rPr>
        <w:t xml:space="preserve"> </w:t>
      </w:r>
      <w:proofErr w:type="spellStart"/>
      <w:r w:rsidRPr="00D1383A">
        <w:rPr>
          <w:i/>
          <w:szCs w:val="24"/>
        </w:rPr>
        <w:t>Companies</w:t>
      </w:r>
      <w:proofErr w:type="spellEnd"/>
      <w:r w:rsidRPr="00D1383A">
        <w:rPr>
          <w:i/>
          <w:szCs w:val="24"/>
        </w:rPr>
        <w:t xml:space="preserve">. </w:t>
      </w:r>
      <w:proofErr w:type="spellStart"/>
      <w:r w:rsidRPr="00D1383A">
        <w:rPr>
          <w:i/>
          <w:szCs w:val="24"/>
        </w:rPr>
        <w:t>Corporate</w:t>
      </w:r>
      <w:proofErr w:type="spellEnd"/>
      <w:r w:rsidRPr="00D1383A">
        <w:rPr>
          <w:i/>
          <w:szCs w:val="24"/>
        </w:rPr>
        <w:t xml:space="preserve"> </w:t>
      </w:r>
      <w:proofErr w:type="spellStart"/>
      <w:r w:rsidRPr="00D1383A">
        <w:rPr>
          <w:i/>
          <w:szCs w:val="24"/>
        </w:rPr>
        <w:t>Governance</w:t>
      </w:r>
      <w:proofErr w:type="spellEnd"/>
      <w:r w:rsidRPr="00D1383A">
        <w:rPr>
          <w:i/>
          <w:szCs w:val="24"/>
        </w:rPr>
        <w:t xml:space="preserve">: </w:t>
      </w:r>
      <w:proofErr w:type="spellStart"/>
      <w:r w:rsidRPr="00D1383A">
        <w:rPr>
          <w:i/>
          <w:szCs w:val="24"/>
        </w:rPr>
        <w:t>An</w:t>
      </w:r>
      <w:proofErr w:type="spellEnd"/>
      <w:r w:rsidRPr="00D1383A">
        <w:rPr>
          <w:i/>
          <w:szCs w:val="24"/>
        </w:rPr>
        <w:t xml:space="preserve"> International </w:t>
      </w:r>
      <w:proofErr w:type="spellStart"/>
      <w:r w:rsidRPr="00D1383A">
        <w:rPr>
          <w:i/>
          <w:szCs w:val="24"/>
        </w:rPr>
        <w:t>Review</w:t>
      </w:r>
      <w:proofErr w:type="spellEnd"/>
      <w:r w:rsidRPr="00D1383A">
        <w:rPr>
          <w:i/>
          <w:szCs w:val="24"/>
        </w:rPr>
        <w:t>, 20: 125-143. doi:10.1111/j.1467-8683.2011.00900.x</w:t>
      </w:r>
    </w:p>
    <w:p w:rsidR="009C2C8B" w:rsidRPr="00D1383A" w:rsidRDefault="009C2C8B" w:rsidP="00D1383A">
      <w:pPr>
        <w:spacing w:afterLines="40" w:after="96"/>
        <w:ind w:left="284" w:hanging="284"/>
        <w:rPr>
          <w:i/>
          <w:szCs w:val="24"/>
        </w:rPr>
      </w:pPr>
      <w:r w:rsidRPr="00D1383A">
        <w:rPr>
          <w:i/>
          <w:szCs w:val="24"/>
        </w:rPr>
        <w:t xml:space="preserve">Rivero Torre, P. Responsabilidad Social y Gobierno Corporativo: Información y Transparencia. Revista Asturiana de Economía, 34. 9-29. </w:t>
      </w:r>
    </w:p>
    <w:p w:rsidR="00C90355" w:rsidRPr="00D1383A" w:rsidRDefault="00C90355" w:rsidP="00D1383A">
      <w:pPr>
        <w:spacing w:afterLines="40" w:after="96"/>
        <w:ind w:left="284" w:hanging="284"/>
        <w:rPr>
          <w:i/>
          <w:szCs w:val="24"/>
        </w:rPr>
      </w:pPr>
      <w:r w:rsidRPr="00D1383A">
        <w:rPr>
          <w:i/>
          <w:szCs w:val="24"/>
        </w:rPr>
        <w:t>RPP (25 de enero del 2017). Estos son los diez bancos que más ganaron en el 2016. RPP Noticias [en línea] Recuperado de http://rpp.pe/economia/economia/estos-son-los-diez-bancos-que-mas-ganaron-en-el-2016-noticia-1026126</w:t>
      </w:r>
    </w:p>
    <w:p w:rsidR="009C2C8B" w:rsidRPr="00D1383A" w:rsidRDefault="009C2C8B" w:rsidP="00D1383A">
      <w:pPr>
        <w:spacing w:afterLines="40" w:after="96"/>
        <w:ind w:left="284" w:hanging="284"/>
        <w:rPr>
          <w:i/>
          <w:szCs w:val="24"/>
        </w:rPr>
      </w:pPr>
      <w:r w:rsidRPr="00D1383A">
        <w:rPr>
          <w:i/>
          <w:szCs w:val="24"/>
        </w:rPr>
        <w:t>Saona, P</w:t>
      </w:r>
      <w:r w:rsidR="002A177E" w:rsidRPr="00D1383A">
        <w:rPr>
          <w:i/>
          <w:szCs w:val="24"/>
        </w:rPr>
        <w:t>., San Martín, P. (setiembre de 2016</w:t>
      </w:r>
      <w:r w:rsidRPr="00D1383A">
        <w:rPr>
          <w:i/>
          <w:szCs w:val="24"/>
        </w:rPr>
        <w:t xml:space="preserve">). </w:t>
      </w:r>
      <w:proofErr w:type="spellStart"/>
      <w:r w:rsidRPr="00D1383A">
        <w:rPr>
          <w:i/>
          <w:szCs w:val="24"/>
        </w:rPr>
        <w:t>Determinants</w:t>
      </w:r>
      <w:proofErr w:type="spellEnd"/>
      <w:r w:rsidRPr="00D1383A">
        <w:rPr>
          <w:i/>
          <w:szCs w:val="24"/>
        </w:rPr>
        <w:t xml:space="preserve"> of </w:t>
      </w:r>
      <w:proofErr w:type="spellStart"/>
      <w:r w:rsidRPr="00D1383A">
        <w:rPr>
          <w:i/>
          <w:szCs w:val="24"/>
        </w:rPr>
        <w:t>firm</w:t>
      </w:r>
      <w:proofErr w:type="spellEnd"/>
      <w:r w:rsidRPr="00D1383A">
        <w:rPr>
          <w:i/>
          <w:szCs w:val="24"/>
        </w:rPr>
        <w:t xml:space="preserve"> </w:t>
      </w:r>
      <w:proofErr w:type="spellStart"/>
      <w:r w:rsidRPr="00D1383A">
        <w:rPr>
          <w:i/>
          <w:szCs w:val="24"/>
        </w:rPr>
        <w:t>value</w:t>
      </w:r>
      <w:proofErr w:type="spellEnd"/>
      <w:r w:rsidRPr="00D1383A">
        <w:rPr>
          <w:i/>
          <w:szCs w:val="24"/>
        </w:rPr>
        <w:t xml:space="preserve"> in </w:t>
      </w:r>
      <w:proofErr w:type="spellStart"/>
      <w:r w:rsidRPr="00D1383A">
        <w:rPr>
          <w:i/>
          <w:szCs w:val="24"/>
        </w:rPr>
        <w:t>Latin</w:t>
      </w:r>
      <w:proofErr w:type="spellEnd"/>
      <w:r w:rsidRPr="00D1383A">
        <w:rPr>
          <w:i/>
          <w:szCs w:val="24"/>
        </w:rPr>
        <w:t xml:space="preserve"> </w:t>
      </w:r>
      <w:proofErr w:type="spellStart"/>
      <w:r w:rsidRPr="00D1383A">
        <w:rPr>
          <w:i/>
          <w:szCs w:val="24"/>
        </w:rPr>
        <w:t>America</w:t>
      </w:r>
      <w:proofErr w:type="spellEnd"/>
      <w:r w:rsidRPr="00D1383A">
        <w:rPr>
          <w:i/>
          <w:szCs w:val="24"/>
        </w:rPr>
        <w:t xml:space="preserve">: </w:t>
      </w:r>
      <w:proofErr w:type="spellStart"/>
      <w:r w:rsidRPr="00D1383A">
        <w:rPr>
          <w:i/>
          <w:szCs w:val="24"/>
        </w:rPr>
        <w:t>an</w:t>
      </w:r>
      <w:proofErr w:type="spellEnd"/>
      <w:r w:rsidRPr="00D1383A">
        <w:rPr>
          <w:i/>
          <w:szCs w:val="24"/>
        </w:rPr>
        <w:t xml:space="preserve"> </w:t>
      </w:r>
      <w:proofErr w:type="spellStart"/>
      <w:r w:rsidRPr="00D1383A">
        <w:rPr>
          <w:i/>
          <w:szCs w:val="24"/>
        </w:rPr>
        <w:t>analysis</w:t>
      </w:r>
      <w:proofErr w:type="spellEnd"/>
      <w:r w:rsidRPr="00D1383A">
        <w:rPr>
          <w:i/>
          <w:szCs w:val="24"/>
        </w:rPr>
        <w:t xml:space="preserve"> of </w:t>
      </w:r>
      <w:proofErr w:type="spellStart"/>
      <w:r w:rsidRPr="00D1383A">
        <w:rPr>
          <w:i/>
          <w:szCs w:val="24"/>
        </w:rPr>
        <w:t>firm</w:t>
      </w:r>
      <w:proofErr w:type="spellEnd"/>
      <w:r w:rsidRPr="00D1383A">
        <w:rPr>
          <w:i/>
          <w:szCs w:val="24"/>
        </w:rPr>
        <w:t xml:space="preserve"> </w:t>
      </w:r>
      <w:proofErr w:type="spellStart"/>
      <w:r w:rsidRPr="00D1383A">
        <w:rPr>
          <w:i/>
          <w:szCs w:val="24"/>
        </w:rPr>
        <w:t>attributes</w:t>
      </w:r>
      <w:proofErr w:type="spellEnd"/>
      <w:r w:rsidRPr="00D1383A">
        <w:rPr>
          <w:i/>
          <w:szCs w:val="24"/>
        </w:rPr>
        <w:t xml:space="preserve"> and </w:t>
      </w:r>
      <w:proofErr w:type="spellStart"/>
      <w:r w:rsidRPr="00D1383A">
        <w:rPr>
          <w:i/>
          <w:szCs w:val="24"/>
        </w:rPr>
        <w:t>institutional</w:t>
      </w:r>
      <w:proofErr w:type="spellEnd"/>
      <w:r w:rsidRPr="00D1383A">
        <w:rPr>
          <w:i/>
          <w:szCs w:val="24"/>
        </w:rPr>
        <w:t xml:space="preserve"> </w:t>
      </w:r>
      <w:proofErr w:type="spellStart"/>
      <w:r w:rsidRPr="00D1383A">
        <w:rPr>
          <w:i/>
          <w:szCs w:val="24"/>
        </w:rPr>
        <w:t>factors</w:t>
      </w:r>
      <w:proofErr w:type="spellEnd"/>
      <w:r w:rsidRPr="00D1383A">
        <w:rPr>
          <w:i/>
          <w:szCs w:val="24"/>
        </w:rPr>
        <w:t xml:space="preserve">. </w:t>
      </w:r>
      <w:proofErr w:type="spellStart"/>
      <w:r w:rsidRPr="00D1383A">
        <w:rPr>
          <w:i/>
          <w:szCs w:val="24"/>
        </w:rPr>
        <w:t>Review</w:t>
      </w:r>
      <w:proofErr w:type="spellEnd"/>
      <w:r w:rsidRPr="00D1383A">
        <w:rPr>
          <w:i/>
          <w:szCs w:val="24"/>
        </w:rPr>
        <w:t xml:space="preserve"> of </w:t>
      </w:r>
      <w:proofErr w:type="spellStart"/>
      <w:r w:rsidRPr="00D1383A">
        <w:rPr>
          <w:i/>
          <w:szCs w:val="24"/>
        </w:rPr>
        <w:t>Managerial</w:t>
      </w:r>
      <w:proofErr w:type="spellEnd"/>
      <w:r w:rsidRPr="00D1383A">
        <w:rPr>
          <w:i/>
          <w:szCs w:val="24"/>
        </w:rPr>
        <w:t xml:space="preserve"> </w:t>
      </w:r>
      <w:proofErr w:type="spellStart"/>
      <w:r w:rsidRPr="00D1383A">
        <w:rPr>
          <w:i/>
          <w:szCs w:val="24"/>
        </w:rPr>
        <w:t>Science</w:t>
      </w:r>
      <w:proofErr w:type="spellEnd"/>
      <w:r w:rsidRPr="00D1383A">
        <w:rPr>
          <w:i/>
          <w:szCs w:val="24"/>
        </w:rPr>
        <w:t xml:space="preserve">, 12(1), 65-112. </w:t>
      </w:r>
    </w:p>
    <w:p w:rsidR="00F73B38" w:rsidRPr="00D1383A" w:rsidRDefault="00F73B38" w:rsidP="00D1383A">
      <w:pPr>
        <w:spacing w:afterLines="40" w:after="96"/>
        <w:ind w:left="284" w:hanging="284"/>
        <w:rPr>
          <w:i/>
          <w:szCs w:val="24"/>
        </w:rPr>
      </w:pPr>
      <w:r w:rsidRPr="00D1383A">
        <w:rPr>
          <w:i/>
          <w:szCs w:val="24"/>
        </w:rPr>
        <w:lastRenderedPageBreak/>
        <w:t xml:space="preserve">Schroeder, L., </w:t>
      </w:r>
      <w:proofErr w:type="spellStart"/>
      <w:r w:rsidRPr="00D1383A">
        <w:rPr>
          <w:i/>
          <w:szCs w:val="24"/>
        </w:rPr>
        <w:t>Sjoquist</w:t>
      </w:r>
      <w:proofErr w:type="spellEnd"/>
      <w:r w:rsidRPr="00D1383A">
        <w:rPr>
          <w:i/>
          <w:szCs w:val="24"/>
        </w:rPr>
        <w:t xml:space="preserve">, D. y Stephan, P. (2016). </w:t>
      </w:r>
      <w:proofErr w:type="spellStart"/>
      <w:r w:rsidRPr="00D1383A">
        <w:rPr>
          <w:i/>
          <w:szCs w:val="24"/>
        </w:rPr>
        <w:t>Understanding</w:t>
      </w:r>
      <w:proofErr w:type="spellEnd"/>
      <w:r w:rsidRPr="00D1383A">
        <w:rPr>
          <w:i/>
          <w:szCs w:val="24"/>
        </w:rPr>
        <w:t xml:space="preserve"> </w:t>
      </w:r>
      <w:proofErr w:type="spellStart"/>
      <w:r w:rsidRPr="00D1383A">
        <w:rPr>
          <w:i/>
          <w:szCs w:val="24"/>
        </w:rPr>
        <w:t>Regression</w:t>
      </w:r>
      <w:proofErr w:type="spellEnd"/>
      <w:r w:rsidRPr="00D1383A">
        <w:rPr>
          <w:i/>
          <w:szCs w:val="24"/>
        </w:rPr>
        <w:t xml:space="preserve"> </w:t>
      </w:r>
      <w:proofErr w:type="spellStart"/>
      <w:r w:rsidRPr="00D1383A">
        <w:rPr>
          <w:i/>
          <w:szCs w:val="24"/>
        </w:rPr>
        <w:t>Analysis</w:t>
      </w:r>
      <w:proofErr w:type="spellEnd"/>
      <w:r w:rsidRPr="00D1383A">
        <w:rPr>
          <w:i/>
          <w:szCs w:val="24"/>
        </w:rPr>
        <w:t xml:space="preserve">: </w:t>
      </w:r>
      <w:proofErr w:type="spellStart"/>
      <w:r w:rsidRPr="00D1383A">
        <w:rPr>
          <w:i/>
          <w:szCs w:val="24"/>
        </w:rPr>
        <w:t>An</w:t>
      </w:r>
      <w:proofErr w:type="spellEnd"/>
      <w:r w:rsidRPr="00D1383A">
        <w:rPr>
          <w:i/>
          <w:szCs w:val="24"/>
        </w:rPr>
        <w:t xml:space="preserve"> </w:t>
      </w:r>
      <w:proofErr w:type="spellStart"/>
      <w:r w:rsidRPr="00D1383A">
        <w:rPr>
          <w:i/>
          <w:szCs w:val="24"/>
        </w:rPr>
        <w:t>Introductory</w:t>
      </w:r>
      <w:proofErr w:type="spellEnd"/>
      <w:r w:rsidRPr="00D1383A">
        <w:rPr>
          <w:i/>
          <w:szCs w:val="24"/>
        </w:rPr>
        <w:t xml:space="preserve"> </w:t>
      </w:r>
      <w:proofErr w:type="spellStart"/>
      <w:r w:rsidRPr="00D1383A">
        <w:rPr>
          <w:i/>
          <w:szCs w:val="24"/>
        </w:rPr>
        <w:t>Guide</w:t>
      </w:r>
      <w:proofErr w:type="spellEnd"/>
      <w:r w:rsidRPr="00D1383A">
        <w:rPr>
          <w:i/>
          <w:szCs w:val="24"/>
        </w:rPr>
        <w:t xml:space="preserve">. SAGE: Los </w:t>
      </w:r>
      <w:proofErr w:type="spellStart"/>
      <w:r w:rsidRPr="00D1383A">
        <w:rPr>
          <w:i/>
          <w:szCs w:val="24"/>
        </w:rPr>
        <w:t>Angeles</w:t>
      </w:r>
      <w:proofErr w:type="spellEnd"/>
      <w:r w:rsidRPr="00D1383A">
        <w:rPr>
          <w:i/>
          <w:szCs w:val="24"/>
        </w:rPr>
        <w:t xml:space="preserve">. </w:t>
      </w:r>
    </w:p>
    <w:p w:rsidR="009C2C8B" w:rsidRPr="00D1383A" w:rsidRDefault="009C2C8B" w:rsidP="00D1383A">
      <w:pPr>
        <w:spacing w:afterLines="40" w:after="96"/>
        <w:ind w:left="284" w:hanging="284"/>
        <w:rPr>
          <w:i/>
          <w:szCs w:val="24"/>
        </w:rPr>
      </w:pPr>
      <w:r w:rsidRPr="00D1383A">
        <w:rPr>
          <w:i/>
          <w:szCs w:val="24"/>
        </w:rPr>
        <w:t>Sociedad del Mercado de Valores [SMV] (2013). Código de Buen Gobierno Corporativo para las Sociedades Peruanas. Recuperado de http://www.smv.gob.pe/uploads/codbgc2013%20_2_.pdf</w:t>
      </w:r>
    </w:p>
    <w:p w:rsidR="00FF71CD" w:rsidRPr="00D1383A" w:rsidRDefault="009C2C8B" w:rsidP="00D1383A">
      <w:pPr>
        <w:spacing w:afterLines="40" w:after="96"/>
        <w:ind w:left="284" w:hanging="284"/>
        <w:rPr>
          <w:i/>
          <w:szCs w:val="24"/>
        </w:rPr>
      </w:pPr>
      <w:proofErr w:type="spellStart"/>
      <w:r w:rsidRPr="00D1383A">
        <w:rPr>
          <w:i/>
          <w:szCs w:val="24"/>
        </w:rPr>
        <w:t>Tobin</w:t>
      </w:r>
      <w:proofErr w:type="spellEnd"/>
      <w:r w:rsidRPr="00D1383A">
        <w:rPr>
          <w:i/>
          <w:szCs w:val="24"/>
        </w:rPr>
        <w:t xml:space="preserve">, J. (febrero de 1969). A General </w:t>
      </w:r>
      <w:proofErr w:type="spellStart"/>
      <w:r w:rsidRPr="00D1383A">
        <w:rPr>
          <w:i/>
          <w:szCs w:val="24"/>
        </w:rPr>
        <w:t>Equilibrium</w:t>
      </w:r>
      <w:proofErr w:type="spellEnd"/>
      <w:r w:rsidRPr="00D1383A">
        <w:rPr>
          <w:i/>
          <w:szCs w:val="24"/>
        </w:rPr>
        <w:t xml:space="preserve"> </w:t>
      </w:r>
      <w:proofErr w:type="spellStart"/>
      <w:r w:rsidRPr="00D1383A">
        <w:rPr>
          <w:i/>
          <w:szCs w:val="24"/>
        </w:rPr>
        <w:t>Approach</w:t>
      </w:r>
      <w:proofErr w:type="spellEnd"/>
      <w:r w:rsidRPr="00D1383A">
        <w:rPr>
          <w:i/>
          <w:szCs w:val="24"/>
        </w:rPr>
        <w:t xml:space="preserve"> to </w:t>
      </w:r>
      <w:proofErr w:type="spellStart"/>
      <w:r w:rsidRPr="00D1383A">
        <w:rPr>
          <w:i/>
          <w:szCs w:val="24"/>
        </w:rPr>
        <w:t>Monetary</w:t>
      </w:r>
      <w:proofErr w:type="spellEnd"/>
      <w:r w:rsidRPr="00D1383A">
        <w:rPr>
          <w:i/>
          <w:szCs w:val="24"/>
        </w:rPr>
        <w:t xml:space="preserve"> </w:t>
      </w:r>
      <w:proofErr w:type="spellStart"/>
      <w:r w:rsidRPr="00D1383A">
        <w:rPr>
          <w:i/>
          <w:szCs w:val="24"/>
        </w:rPr>
        <w:t>Theory</w:t>
      </w:r>
      <w:proofErr w:type="spellEnd"/>
      <w:r w:rsidRPr="00D1383A">
        <w:rPr>
          <w:i/>
          <w:szCs w:val="24"/>
        </w:rPr>
        <w:t xml:space="preserve">. </w:t>
      </w:r>
      <w:proofErr w:type="spellStart"/>
      <w:r w:rsidRPr="00D1383A">
        <w:rPr>
          <w:i/>
          <w:szCs w:val="24"/>
        </w:rPr>
        <w:t>Journal</w:t>
      </w:r>
      <w:proofErr w:type="spellEnd"/>
      <w:r w:rsidRPr="00D1383A">
        <w:rPr>
          <w:i/>
          <w:szCs w:val="24"/>
        </w:rPr>
        <w:t xml:space="preserve"> of Money, </w:t>
      </w:r>
      <w:proofErr w:type="spellStart"/>
      <w:r w:rsidRPr="00D1383A">
        <w:rPr>
          <w:i/>
          <w:szCs w:val="24"/>
        </w:rPr>
        <w:t>Credit</w:t>
      </w:r>
      <w:proofErr w:type="spellEnd"/>
      <w:r w:rsidRPr="00D1383A">
        <w:rPr>
          <w:i/>
          <w:szCs w:val="24"/>
        </w:rPr>
        <w:t xml:space="preserve"> and </w:t>
      </w:r>
      <w:proofErr w:type="spellStart"/>
      <w:r w:rsidRPr="00D1383A">
        <w:rPr>
          <w:i/>
          <w:szCs w:val="24"/>
        </w:rPr>
        <w:t>Banking</w:t>
      </w:r>
      <w:proofErr w:type="spellEnd"/>
      <w:r w:rsidRPr="00D1383A">
        <w:rPr>
          <w:i/>
          <w:szCs w:val="24"/>
        </w:rPr>
        <w:t>, 1(1), 15-29.</w:t>
      </w:r>
      <w:r w:rsidR="00771A41" w:rsidRPr="00D1383A">
        <w:rPr>
          <w:i/>
          <w:szCs w:val="24"/>
        </w:rPr>
        <w:t xml:space="preserve"> </w:t>
      </w:r>
    </w:p>
    <w:p w:rsidR="00771A41" w:rsidRPr="00D1383A" w:rsidRDefault="00FF71CD" w:rsidP="00D1383A">
      <w:pPr>
        <w:spacing w:afterLines="40" w:after="96"/>
        <w:ind w:left="284" w:hanging="284"/>
        <w:rPr>
          <w:i/>
          <w:szCs w:val="24"/>
        </w:rPr>
      </w:pPr>
      <w:proofErr w:type="spellStart"/>
      <w:r w:rsidRPr="00D1383A">
        <w:rPr>
          <w:i/>
          <w:szCs w:val="24"/>
        </w:rPr>
        <w:t>Twairesh</w:t>
      </w:r>
      <w:proofErr w:type="spellEnd"/>
      <w:r w:rsidRPr="00D1383A">
        <w:rPr>
          <w:i/>
          <w:szCs w:val="24"/>
        </w:rPr>
        <w:t xml:space="preserve">, A.E. (2014). </w:t>
      </w:r>
      <w:proofErr w:type="spellStart"/>
      <w:r w:rsidRPr="00D1383A">
        <w:rPr>
          <w:i/>
          <w:szCs w:val="24"/>
        </w:rPr>
        <w:t>The</w:t>
      </w:r>
      <w:proofErr w:type="spellEnd"/>
      <w:r w:rsidRPr="00D1383A">
        <w:rPr>
          <w:i/>
          <w:szCs w:val="24"/>
        </w:rPr>
        <w:t xml:space="preserve"> </w:t>
      </w:r>
      <w:proofErr w:type="spellStart"/>
      <w:r w:rsidRPr="00D1383A">
        <w:rPr>
          <w:i/>
          <w:szCs w:val="24"/>
        </w:rPr>
        <w:t>impact</w:t>
      </w:r>
      <w:proofErr w:type="spellEnd"/>
      <w:r w:rsidRPr="00D1383A">
        <w:rPr>
          <w:i/>
          <w:szCs w:val="24"/>
        </w:rPr>
        <w:t xml:space="preserve"> of capital </w:t>
      </w:r>
      <w:proofErr w:type="spellStart"/>
      <w:r w:rsidRPr="00D1383A">
        <w:rPr>
          <w:i/>
          <w:szCs w:val="24"/>
        </w:rPr>
        <w:t>structure</w:t>
      </w:r>
      <w:proofErr w:type="spellEnd"/>
      <w:r w:rsidRPr="00D1383A">
        <w:rPr>
          <w:i/>
          <w:szCs w:val="24"/>
        </w:rPr>
        <w:t xml:space="preserve"> </w:t>
      </w:r>
      <w:proofErr w:type="spellStart"/>
      <w:r w:rsidRPr="00D1383A">
        <w:rPr>
          <w:i/>
          <w:szCs w:val="24"/>
        </w:rPr>
        <w:t>on</w:t>
      </w:r>
      <w:proofErr w:type="spellEnd"/>
      <w:r w:rsidRPr="00D1383A">
        <w:rPr>
          <w:i/>
          <w:szCs w:val="24"/>
        </w:rPr>
        <w:t xml:space="preserve"> </w:t>
      </w:r>
      <w:proofErr w:type="spellStart"/>
      <w:r w:rsidRPr="00D1383A">
        <w:rPr>
          <w:i/>
          <w:szCs w:val="24"/>
        </w:rPr>
        <w:t>firm</w:t>
      </w:r>
      <w:proofErr w:type="spellEnd"/>
      <w:r w:rsidRPr="00D1383A">
        <w:rPr>
          <w:i/>
          <w:szCs w:val="24"/>
        </w:rPr>
        <w:t xml:space="preserve"> performance </w:t>
      </w:r>
      <w:proofErr w:type="spellStart"/>
      <w:r w:rsidRPr="00D1383A">
        <w:rPr>
          <w:i/>
          <w:szCs w:val="24"/>
        </w:rPr>
        <w:t>evidence</w:t>
      </w:r>
      <w:proofErr w:type="spellEnd"/>
      <w:r w:rsidRPr="00D1383A">
        <w:rPr>
          <w:i/>
          <w:szCs w:val="24"/>
        </w:rPr>
        <w:t xml:space="preserve"> </w:t>
      </w:r>
      <w:proofErr w:type="spellStart"/>
      <w:r w:rsidRPr="00D1383A">
        <w:rPr>
          <w:i/>
          <w:szCs w:val="24"/>
        </w:rPr>
        <w:t>from</w:t>
      </w:r>
      <w:proofErr w:type="spellEnd"/>
      <w:r w:rsidRPr="00D1383A">
        <w:rPr>
          <w:i/>
          <w:szCs w:val="24"/>
        </w:rPr>
        <w:t xml:space="preserve"> </w:t>
      </w:r>
      <w:proofErr w:type="spellStart"/>
      <w:r w:rsidRPr="00D1383A">
        <w:rPr>
          <w:i/>
          <w:szCs w:val="24"/>
        </w:rPr>
        <w:t>Saudi</w:t>
      </w:r>
      <w:proofErr w:type="spellEnd"/>
      <w:r w:rsidRPr="00D1383A">
        <w:rPr>
          <w:i/>
          <w:szCs w:val="24"/>
        </w:rPr>
        <w:t xml:space="preserve"> Arabia. </w:t>
      </w:r>
      <w:proofErr w:type="spellStart"/>
      <w:r w:rsidRPr="00D1383A">
        <w:rPr>
          <w:i/>
          <w:szCs w:val="24"/>
        </w:rPr>
        <w:t>Journal</w:t>
      </w:r>
      <w:proofErr w:type="spellEnd"/>
      <w:r w:rsidRPr="00D1383A">
        <w:rPr>
          <w:i/>
          <w:szCs w:val="24"/>
        </w:rPr>
        <w:t xml:space="preserve"> of </w:t>
      </w:r>
      <w:proofErr w:type="spellStart"/>
      <w:r w:rsidRPr="00D1383A">
        <w:rPr>
          <w:i/>
          <w:szCs w:val="24"/>
        </w:rPr>
        <w:t>Applied</w:t>
      </w:r>
      <w:proofErr w:type="spellEnd"/>
      <w:r w:rsidRPr="00D1383A">
        <w:rPr>
          <w:i/>
          <w:szCs w:val="24"/>
        </w:rPr>
        <w:t xml:space="preserve"> </w:t>
      </w:r>
      <w:proofErr w:type="spellStart"/>
      <w:r w:rsidRPr="00D1383A">
        <w:rPr>
          <w:i/>
          <w:szCs w:val="24"/>
        </w:rPr>
        <w:t>Finance</w:t>
      </w:r>
      <w:proofErr w:type="spellEnd"/>
      <w:r w:rsidRPr="00D1383A">
        <w:rPr>
          <w:i/>
          <w:szCs w:val="24"/>
        </w:rPr>
        <w:t xml:space="preserve"> and </w:t>
      </w:r>
      <w:proofErr w:type="spellStart"/>
      <w:r w:rsidRPr="00D1383A">
        <w:rPr>
          <w:i/>
          <w:szCs w:val="24"/>
        </w:rPr>
        <w:t>Banking</w:t>
      </w:r>
      <w:proofErr w:type="spellEnd"/>
      <w:r w:rsidRPr="00D1383A">
        <w:rPr>
          <w:i/>
          <w:szCs w:val="24"/>
        </w:rPr>
        <w:t>, 4(2), 183–193.</w:t>
      </w:r>
    </w:p>
    <w:p w:rsidR="00771A41" w:rsidRPr="00D1383A" w:rsidRDefault="00771A41" w:rsidP="00D1383A">
      <w:pPr>
        <w:spacing w:afterLines="40" w:after="96"/>
        <w:ind w:left="284" w:hanging="284"/>
        <w:rPr>
          <w:i/>
          <w:szCs w:val="24"/>
        </w:rPr>
      </w:pPr>
      <w:r w:rsidRPr="00D1383A">
        <w:rPr>
          <w:i/>
          <w:szCs w:val="24"/>
        </w:rPr>
        <w:t xml:space="preserve">Vázquez Muñoz, J. A. (2007). </w:t>
      </w:r>
      <w:proofErr w:type="spellStart"/>
      <w:r w:rsidRPr="00D1383A">
        <w:rPr>
          <w:i/>
          <w:szCs w:val="24"/>
        </w:rPr>
        <w:t>Monetary</w:t>
      </w:r>
      <w:proofErr w:type="spellEnd"/>
      <w:r w:rsidRPr="00D1383A">
        <w:rPr>
          <w:i/>
          <w:szCs w:val="24"/>
        </w:rPr>
        <w:t xml:space="preserve"> </w:t>
      </w:r>
      <w:proofErr w:type="spellStart"/>
      <w:r w:rsidRPr="00D1383A">
        <w:rPr>
          <w:i/>
          <w:szCs w:val="24"/>
        </w:rPr>
        <w:t>economics</w:t>
      </w:r>
      <w:proofErr w:type="spellEnd"/>
      <w:r w:rsidRPr="00D1383A">
        <w:rPr>
          <w:i/>
          <w:szCs w:val="24"/>
        </w:rPr>
        <w:t xml:space="preserve">: </w:t>
      </w:r>
      <w:proofErr w:type="spellStart"/>
      <w:r w:rsidRPr="00D1383A">
        <w:rPr>
          <w:i/>
          <w:szCs w:val="24"/>
        </w:rPr>
        <w:t>an</w:t>
      </w:r>
      <w:proofErr w:type="spellEnd"/>
      <w:r w:rsidRPr="00D1383A">
        <w:rPr>
          <w:i/>
          <w:szCs w:val="24"/>
        </w:rPr>
        <w:t xml:space="preserve"> </w:t>
      </w:r>
      <w:proofErr w:type="spellStart"/>
      <w:r w:rsidRPr="00D1383A">
        <w:rPr>
          <w:i/>
          <w:szCs w:val="24"/>
        </w:rPr>
        <w:t>integrated</w:t>
      </w:r>
      <w:proofErr w:type="spellEnd"/>
      <w:r w:rsidRPr="00D1383A">
        <w:rPr>
          <w:i/>
          <w:szCs w:val="24"/>
        </w:rPr>
        <w:t xml:space="preserve"> </w:t>
      </w:r>
      <w:proofErr w:type="spellStart"/>
      <w:r w:rsidRPr="00D1383A">
        <w:rPr>
          <w:i/>
          <w:szCs w:val="24"/>
        </w:rPr>
        <w:t>approach</w:t>
      </w:r>
      <w:proofErr w:type="spellEnd"/>
      <w:r w:rsidRPr="00D1383A">
        <w:rPr>
          <w:i/>
          <w:szCs w:val="24"/>
        </w:rPr>
        <w:t xml:space="preserve"> to </w:t>
      </w:r>
      <w:proofErr w:type="spellStart"/>
      <w:r w:rsidRPr="00D1383A">
        <w:rPr>
          <w:i/>
          <w:szCs w:val="24"/>
        </w:rPr>
        <w:t>credit</w:t>
      </w:r>
      <w:proofErr w:type="spellEnd"/>
      <w:r w:rsidRPr="00D1383A">
        <w:rPr>
          <w:i/>
          <w:szCs w:val="24"/>
        </w:rPr>
        <w:t xml:space="preserve">, </w:t>
      </w:r>
      <w:proofErr w:type="spellStart"/>
      <w:r w:rsidRPr="00D1383A">
        <w:rPr>
          <w:i/>
          <w:szCs w:val="24"/>
        </w:rPr>
        <w:t>money</w:t>
      </w:r>
      <w:proofErr w:type="spellEnd"/>
      <w:r w:rsidRPr="00D1383A">
        <w:rPr>
          <w:i/>
          <w:szCs w:val="24"/>
        </w:rPr>
        <w:t xml:space="preserve">, </w:t>
      </w:r>
      <w:proofErr w:type="spellStart"/>
      <w:r w:rsidRPr="00D1383A">
        <w:rPr>
          <w:i/>
          <w:szCs w:val="24"/>
        </w:rPr>
        <w:t>income</w:t>
      </w:r>
      <w:proofErr w:type="spellEnd"/>
      <w:r w:rsidRPr="00D1383A">
        <w:rPr>
          <w:i/>
          <w:szCs w:val="24"/>
        </w:rPr>
        <w:t xml:space="preserve">, </w:t>
      </w:r>
      <w:proofErr w:type="spellStart"/>
      <w:r w:rsidRPr="00D1383A">
        <w:rPr>
          <w:i/>
          <w:szCs w:val="24"/>
        </w:rPr>
        <w:t>production</w:t>
      </w:r>
      <w:proofErr w:type="spellEnd"/>
      <w:r w:rsidRPr="00D1383A">
        <w:rPr>
          <w:i/>
          <w:szCs w:val="24"/>
        </w:rPr>
        <w:t xml:space="preserve"> and </w:t>
      </w:r>
      <w:proofErr w:type="spellStart"/>
      <w:r w:rsidRPr="00D1383A">
        <w:rPr>
          <w:i/>
          <w:szCs w:val="24"/>
        </w:rPr>
        <w:t>wealth</w:t>
      </w:r>
      <w:proofErr w:type="spellEnd"/>
      <w:r w:rsidRPr="00D1383A">
        <w:rPr>
          <w:i/>
          <w:szCs w:val="24"/>
        </w:rPr>
        <w:t>. Investigación económica, 66(261), 155-163.</w:t>
      </w:r>
    </w:p>
    <w:sectPr w:rsidR="00771A41" w:rsidRPr="00D1383A" w:rsidSect="00D1383A">
      <w:footerReference w:type="default" r:id="rId9"/>
      <w:pgSz w:w="12240" w:h="15840"/>
      <w:pgMar w:top="1417" w:right="1701" w:bottom="1417" w:left="1701" w:header="720" w:footer="4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290" w:rsidRDefault="00C31290" w:rsidP="003F1F57">
      <w:r>
        <w:separator/>
      </w:r>
    </w:p>
  </w:endnote>
  <w:endnote w:type="continuationSeparator" w:id="0">
    <w:p w:rsidR="00C31290" w:rsidRDefault="00C31290" w:rsidP="003F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460213"/>
      <w:docPartObj>
        <w:docPartGallery w:val="Page Numbers (Bottom of Page)"/>
        <w:docPartUnique/>
      </w:docPartObj>
    </w:sdtPr>
    <w:sdtEndPr>
      <w:rPr>
        <w:sz w:val="20"/>
      </w:rPr>
    </w:sdtEndPr>
    <w:sdtContent>
      <w:p w:rsidR="00D1383A" w:rsidRPr="00D1383A" w:rsidRDefault="00D1383A">
        <w:pPr>
          <w:pStyle w:val="Piedepgina"/>
          <w:jc w:val="right"/>
          <w:rPr>
            <w:sz w:val="20"/>
          </w:rPr>
        </w:pPr>
        <w:r w:rsidRPr="00D1383A">
          <w:rPr>
            <w:sz w:val="20"/>
          </w:rPr>
          <w:fldChar w:fldCharType="begin"/>
        </w:r>
        <w:r w:rsidRPr="00D1383A">
          <w:rPr>
            <w:sz w:val="20"/>
          </w:rPr>
          <w:instrText>PAGE   \* MERGEFORMAT</w:instrText>
        </w:r>
        <w:r w:rsidRPr="00D1383A">
          <w:rPr>
            <w:sz w:val="20"/>
          </w:rPr>
          <w:fldChar w:fldCharType="separate"/>
        </w:r>
        <w:r w:rsidR="00956579" w:rsidRPr="00956579">
          <w:rPr>
            <w:noProof/>
            <w:sz w:val="20"/>
            <w:lang w:val="es-ES"/>
          </w:rPr>
          <w:t>19</w:t>
        </w:r>
        <w:r w:rsidRPr="00D1383A">
          <w:rPr>
            <w:sz w:val="20"/>
          </w:rPr>
          <w:fldChar w:fldCharType="end"/>
        </w:r>
      </w:p>
    </w:sdtContent>
  </w:sdt>
  <w:p w:rsidR="00D1383A" w:rsidRDefault="00D138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290" w:rsidRDefault="00C31290" w:rsidP="003F1F57">
      <w:r>
        <w:separator/>
      </w:r>
    </w:p>
  </w:footnote>
  <w:footnote w:type="continuationSeparator" w:id="0">
    <w:p w:rsidR="00C31290" w:rsidRDefault="00C31290" w:rsidP="003F1F57">
      <w:r>
        <w:continuationSeparator/>
      </w:r>
    </w:p>
  </w:footnote>
  <w:footnote w:id="1">
    <w:p w:rsidR="00956579" w:rsidRDefault="00956579">
      <w:pPr>
        <w:pStyle w:val="Textonotapie"/>
      </w:pPr>
      <w:r>
        <w:rPr>
          <w:rStyle w:val="Refdenotaalpie"/>
        </w:rPr>
        <w:footnoteRef/>
      </w:r>
      <w:r>
        <w:t>El docume</w:t>
      </w:r>
      <w:r>
        <w:t xml:space="preserve">nto conto con la asistencia de los alumnos Celeste Gaspar y </w:t>
      </w:r>
      <w:r>
        <w:t xml:space="preserve">Julio </w:t>
      </w:r>
      <w:proofErr w:type="spellStart"/>
      <w:r>
        <w:t>Ramirez</w:t>
      </w:r>
      <w:proofErr w:type="spellEnd"/>
      <w:r>
        <w:t xml:space="preserve"> de la </w:t>
      </w:r>
      <w:proofErr w:type="spellStart"/>
      <w:r>
        <w:t>Unviersidad</w:t>
      </w:r>
      <w:proofErr w:type="spellEnd"/>
      <w:r>
        <w:t xml:space="preserve"> </w:t>
      </w:r>
      <w:proofErr w:type="spellStart"/>
      <w:r>
        <w:t>Esan</w:t>
      </w:r>
      <w:proofErr w:type="spell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A0B1E"/>
    <w:multiLevelType w:val="multilevel"/>
    <w:tmpl w:val="24BA730C"/>
    <w:lvl w:ilvl="0">
      <w:start w:val="1"/>
      <w:numFmt w:val="decimal"/>
      <w:suff w:val="space"/>
      <w:lvlText w:val="%1."/>
      <w:lvlJc w:val="left"/>
      <w:pPr>
        <w:ind w:left="360" w:hanging="360"/>
      </w:pPr>
      <w:rPr>
        <w:rFonts w:ascii="Arial" w:hAnsi="Arial" w:hint="default"/>
        <w:b w:val="0"/>
        <w:i w:val="0"/>
        <w:color w:val="2C2A28"/>
        <w:sz w:val="24"/>
      </w:rPr>
    </w:lvl>
    <w:lvl w:ilvl="1">
      <w:start w:val="1"/>
      <w:numFmt w:val="decimal"/>
      <w:suff w:val="space"/>
      <w:lvlText w:val="%1.%2."/>
      <w:lvlJc w:val="left"/>
      <w:pPr>
        <w:ind w:left="1080" w:hanging="1080"/>
      </w:pPr>
      <w:rPr>
        <w:rFonts w:ascii="Arial" w:hAnsi="Arial" w:hint="default"/>
        <w:sz w:val="24"/>
      </w:rPr>
    </w:lvl>
    <w:lvl w:ilvl="2">
      <w:start w:val="1"/>
      <w:numFmt w:val="decimal"/>
      <w:isLgl/>
      <w:suff w:val="space"/>
      <w:lvlText w:val="%1.%2.%3."/>
      <w:lvlJc w:val="right"/>
      <w:pPr>
        <w:ind w:left="1800" w:hanging="180"/>
      </w:pPr>
      <w:rPr>
        <w:rFonts w:ascii="Arial" w:hAnsi="Arial"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84847EA"/>
    <w:multiLevelType w:val="hybridMultilevel"/>
    <w:tmpl w:val="07E07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55D25D4"/>
    <w:multiLevelType w:val="multilevel"/>
    <w:tmpl w:val="FFA64EDE"/>
    <w:lvl w:ilvl="0">
      <w:start w:val="1"/>
      <w:numFmt w:val="decimal"/>
      <w:suff w:val="space"/>
      <w:lvlText w:val="%1."/>
      <w:lvlJc w:val="left"/>
      <w:pPr>
        <w:ind w:left="360" w:hanging="360"/>
      </w:pPr>
      <w:rPr>
        <w:rFonts w:ascii="Arial" w:hAnsi="Arial" w:hint="default"/>
        <w:b w:val="0"/>
        <w:i w:val="0"/>
        <w:color w:val="2C2A28"/>
        <w:sz w:val="24"/>
      </w:rPr>
    </w:lvl>
    <w:lvl w:ilvl="1">
      <w:start w:val="1"/>
      <w:numFmt w:val="decimal"/>
      <w:suff w:val="space"/>
      <w:lvlText w:val="%1.%2."/>
      <w:lvlJc w:val="left"/>
      <w:pPr>
        <w:ind w:left="1080" w:hanging="1080"/>
      </w:pPr>
      <w:rPr>
        <w:rFonts w:ascii="Arial" w:hAnsi="Arial" w:hint="default"/>
        <w:sz w:val="24"/>
      </w:rPr>
    </w:lvl>
    <w:lvl w:ilvl="2">
      <w:start w:val="1"/>
      <w:numFmt w:val="decimal"/>
      <w:isLgl/>
      <w:suff w:val="space"/>
      <w:lvlText w:val="%1.%2.%3."/>
      <w:lvlJc w:val="right"/>
      <w:pPr>
        <w:ind w:left="1800" w:hanging="1800"/>
      </w:pPr>
      <w:rPr>
        <w:rFonts w:ascii="Arial" w:hAnsi="Arial"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3391077B"/>
    <w:multiLevelType w:val="multilevel"/>
    <w:tmpl w:val="599AF93A"/>
    <w:lvl w:ilvl="0">
      <w:start w:val="1"/>
      <w:numFmt w:val="decimal"/>
      <w:suff w:val="space"/>
      <w:lvlText w:val="%1."/>
      <w:lvlJc w:val="left"/>
      <w:pPr>
        <w:ind w:left="360" w:hanging="360"/>
      </w:pPr>
      <w:rPr>
        <w:rFonts w:ascii="Arial" w:hAnsi="Arial" w:hint="default"/>
        <w:b w:val="0"/>
        <w:i w:val="0"/>
        <w:color w:val="2C2A28"/>
        <w:sz w:val="24"/>
      </w:rPr>
    </w:lvl>
    <w:lvl w:ilvl="1">
      <w:start w:val="1"/>
      <w:numFmt w:val="decimal"/>
      <w:suff w:val="space"/>
      <w:lvlText w:val="%1.%2."/>
      <w:lvlJc w:val="left"/>
      <w:pPr>
        <w:ind w:left="1080" w:hanging="1080"/>
      </w:pPr>
      <w:rPr>
        <w:rFonts w:ascii="Arial" w:hAnsi="Arial" w:hint="default"/>
        <w:sz w:val="24"/>
      </w:rPr>
    </w:lvl>
    <w:lvl w:ilvl="2">
      <w:start w:val="1"/>
      <w:numFmt w:val="decimal"/>
      <w:isLgl/>
      <w:suff w:val="space"/>
      <w:lvlText w:val="%1.%2.%3."/>
      <w:lvlJc w:val="right"/>
      <w:pPr>
        <w:ind w:left="1800" w:hanging="1800"/>
      </w:pPr>
      <w:rPr>
        <w:rFonts w:ascii="Arial" w:hAnsi="Arial"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3B3F18A7"/>
    <w:multiLevelType w:val="multilevel"/>
    <w:tmpl w:val="EBEE8E92"/>
    <w:lvl w:ilvl="0">
      <w:start w:val="1"/>
      <w:numFmt w:val="decimal"/>
      <w:suff w:val="space"/>
      <w:lvlText w:val="%1."/>
      <w:lvlJc w:val="left"/>
      <w:pPr>
        <w:ind w:left="360" w:hanging="360"/>
      </w:pPr>
      <w:rPr>
        <w:rFonts w:ascii="Arial" w:hAnsi="Arial" w:hint="default"/>
        <w:b w:val="0"/>
        <w:i w:val="0"/>
        <w:color w:val="2C2A28"/>
        <w:sz w:val="24"/>
      </w:rPr>
    </w:lvl>
    <w:lvl w:ilvl="1">
      <w:start w:val="1"/>
      <w:numFmt w:val="decimal"/>
      <w:suff w:val="space"/>
      <w:lvlText w:val="%1.%2."/>
      <w:lvlJc w:val="left"/>
      <w:pPr>
        <w:ind w:left="1080" w:hanging="1080"/>
      </w:pPr>
      <w:rPr>
        <w:rFonts w:ascii="Arial" w:hAnsi="Arial" w:hint="default"/>
        <w:sz w:val="24"/>
      </w:rPr>
    </w:lvl>
    <w:lvl w:ilvl="2">
      <w:start w:val="1"/>
      <w:numFmt w:val="decimal"/>
      <w:isLgl/>
      <w:suff w:val="space"/>
      <w:lvlText w:val="%1.%2.%3."/>
      <w:lvlJc w:val="left"/>
      <w:pPr>
        <w:ind w:left="4633" w:hanging="1797"/>
      </w:pPr>
      <w:rPr>
        <w:rFonts w:ascii="Arial" w:hAnsi="Arial"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50C30D3E"/>
    <w:multiLevelType w:val="multilevel"/>
    <w:tmpl w:val="BA34DD7C"/>
    <w:lvl w:ilvl="0">
      <w:start w:val="1"/>
      <w:numFmt w:val="decimal"/>
      <w:suff w:val="space"/>
      <w:lvlText w:val="%1."/>
      <w:lvlJc w:val="left"/>
      <w:pPr>
        <w:ind w:left="360" w:hanging="360"/>
      </w:pPr>
      <w:rPr>
        <w:rFonts w:ascii="Arial" w:hAnsi="Arial" w:hint="default"/>
        <w:b w:val="0"/>
        <w:i w:val="0"/>
        <w:color w:val="2C2A28"/>
        <w:sz w:val="24"/>
      </w:rPr>
    </w:lvl>
    <w:lvl w:ilvl="1">
      <w:start w:val="1"/>
      <w:numFmt w:val="decimal"/>
      <w:suff w:val="space"/>
      <w:lvlText w:val="%1.%2."/>
      <w:lvlJc w:val="left"/>
      <w:pPr>
        <w:ind w:left="1080" w:hanging="1080"/>
      </w:pPr>
      <w:rPr>
        <w:rFonts w:ascii="Arial" w:hAnsi="Arial" w:hint="default"/>
        <w:sz w:val="24"/>
      </w:rPr>
    </w:lvl>
    <w:lvl w:ilvl="2">
      <w:start w:val="1"/>
      <w:numFmt w:val="decimal"/>
      <w:isLgl/>
      <w:suff w:val="space"/>
      <w:lvlText w:val="%1.%2.%3."/>
      <w:lvlJc w:val="right"/>
      <w:pPr>
        <w:ind w:left="1800" w:hanging="180"/>
      </w:pPr>
      <w:rPr>
        <w:rFonts w:ascii="Arial" w:hAnsi="Arial"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745E1402"/>
    <w:multiLevelType w:val="multilevel"/>
    <w:tmpl w:val="057EEED8"/>
    <w:lvl w:ilvl="0">
      <w:start w:val="1"/>
      <w:numFmt w:val="decimal"/>
      <w:pStyle w:val="Ttulo1"/>
      <w:suff w:val="space"/>
      <w:lvlText w:val="%1."/>
      <w:lvlJc w:val="left"/>
      <w:pPr>
        <w:ind w:left="360" w:hanging="360"/>
      </w:pPr>
      <w:rPr>
        <w:rFonts w:ascii="Arial" w:hAnsi="Arial" w:hint="default"/>
        <w:b w:val="0"/>
        <w:i w:val="0"/>
        <w:color w:val="2C2A28"/>
        <w:sz w:val="24"/>
      </w:rPr>
    </w:lvl>
    <w:lvl w:ilvl="1">
      <w:start w:val="1"/>
      <w:numFmt w:val="decimal"/>
      <w:pStyle w:val="Ttulo2"/>
      <w:suff w:val="space"/>
      <w:lvlText w:val="%1.%2."/>
      <w:lvlJc w:val="left"/>
      <w:pPr>
        <w:ind w:left="1080" w:hanging="1080"/>
      </w:pPr>
      <w:rPr>
        <w:rFonts w:ascii="Arial" w:hAnsi="Arial" w:hint="default"/>
        <w:sz w:val="24"/>
      </w:rPr>
    </w:lvl>
    <w:lvl w:ilvl="2">
      <w:start w:val="1"/>
      <w:numFmt w:val="decimal"/>
      <w:pStyle w:val="Ttulo3"/>
      <w:isLgl/>
      <w:suff w:val="space"/>
      <w:lvlText w:val="%1.%2.%3."/>
      <w:lvlJc w:val="left"/>
      <w:pPr>
        <w:ind w:left="4633" w:hanging="4633"/>
      </w:pPr>
      <w:rPr>
        <w:rFonts w:ascii="Arial" w:hAnsi="Arial" w:hint="default"/>
        <w:b w:val="0"/>
        <w:i w:val="0"/>
        <w:sz w:val="24"/>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5"/>
  </w:num>
  <w:num w:numId="2">
    <w:abstractNumId w:val="0"/>
  </w:num>
  <w:num w:numId="3">
    <w:abstractNumId w:val="3"/>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00"/>
    <w:rsid w:val="00030333"/>
    <w:rsid w:val="00031383"/>
    <w:rsid w:val="000369C7"/>
    <w:rsid w:val="00072B87"/>
    <w:rsid w:val="000851A2"/>
    <w:rsid w:val="00095A19"/>
    <w:rsid w:val="000E1997"/>
    <w:rsid w:val="000E44AA"/>
    <w:rsid w:val="001207DD"/>
    <w:rsid w:val="0012775D"/>
    <w:rsid w:val="00143008"/>
    <w:rsid w:val="00161174"/>
    <w:rsid w:val="0016688C"/>
    <w:rsid w:val="00177DE7"/>
    <w:rsid w:val="001916D0"/>
    <w:rsid w:val="00193E39"/>
    <w:rsid w:val="001B500D"/>
    <w:rsid w:val="001C0D20"/>
    <w:rsid w:val="001E05B4"/>
    <w:rsid w:val="001E3F13"/>
    <w:rsid w:val="001F67E1"/>
    <w:rsid w:val="00210710"/>
    <w:rsid w:val="00223372"/>
    <w:rsid w:val="00231764"/>
    <w:rsid w:val="002546EE"/>
    <w:rsid w:val="00254F49"/>
    <w:rsid w:val="0025609E"/>
    <w:rsid w:val="0027025C"/>
    <w:rsid w:val="00290681"/>
    <w:rsid w:val="00292B4C"/>
    <w:rsid w:val="002A177E"/>
    <w:rsid w:val="002C269C"/>
    <w:rsid w:val="003064C3"/>
    <w:rsid w:val="00330AB5"/>
    <w:rsid w:val="0033438F"/>
    <w:rsid w:val="00346C4E"/>
    <w:rsid w:val="00353A8D"/>
    <w:rsid w:val="003A2BBF"/>
    <w:rsid w:val="003B7104"/>
    <w:rsid w:val="003C287E"/>
    <w:rsid w:val="003C2E4D"/>
    <w:rsid w:val="003E559A"/>
    <w:rsid w:val="003F1F57"/>
    <w:rsid w:val="003F4F98"/>
    <w:rsid w:val="00400F6C"/>
    <w:rsid w:val="004173BE"/>
    <w:rsid w:val="00425348"/>
    <w:rsid w:val="00444B56"/>
    <w:rsid w:val="00445B75"/>
    <w:rsid w:val="00462E1A"/>
    <w:rsid w:val="00475F6E"/>
    <w:rsid w:val="004A1891"/>
    <w:rsid w:val="004A24AA"/>
    <w:rsid w:val="004B0332"/>
    <w:rsid w:val="004B3F7C"/>
    <w:rsid w:val="004C66E2"/>
    <w:rsid w:val="00507049"/>
    <w:rsid w:val="00513484"/>
    <w:rsid w:val="00530AB6"/>
    <w:rsid w:val="00546AAC"/>
    <w:rsid w:val="00546ABE"/>
    <w:rsid w:val="00547F50"/>
    <w:rsid w:val="0057654F"/>
    <w:rsid w:val="00580C30"/>
    <w:rsid w:val="00581A31"/>
    <w:rsid w:val="005A6152"/>
    <w:rsid w:val="005C17B9"/>
    <w:rsid w:val="005D650F"/>
    <w:rsid w:val="005E2A20"/>
    <w:rsid w:val="00601F9B"/>
    <w:rsid w:val="0061293F"/>
    <w:rsid w:val="00640622"/>
    <w:rsid w:val="006436F7"/>
    <w:rsid w:val="00643E0C"/>
    <w:rsid w:val="00657D6A"/>
    <w:rsid w:val="00686C9A"/>
    <w:rsid w:val="006B3C6A"/>
    <w:rsid w:val="006B5762"/>
    <w:rsid w:val="006F6DAF"/>
    <w:rsid w:val="00714D76"/>
    <w:rsid w:val="00753D99"/>
    <w:rsid w:val="00766E65"/>
    <w:rsid w:val="00771A41"/>
    <w:rsid w:val="00786144"/>
    <w:rsid w:val="007B06DF"/>
    <w:rsid w:val="007C187F"/>
    <w:rsid w:val="00806B64"/>
    <w:rsid w:val="00815BA7"/>
    <w:rsid w:val="00816D90"/>
    <w:rsid w:val="0084055A"/>
    <w:rsid w:val="00854F8A"/>
    <w:rsid w:val="00870226"/>
    <w:rsid w:val="008727B0"/>
    <w:rsid w:val="0088463B"/>
    <w:rsid w:val="008E10D8"/>
    <w:rsid w:val="008F28BE"/>
    <w:rsid w:val="008F5F81"/>
    <w:rsid w:val="0090124F"/>
    <w:rsid w:val="00943C0A"/>
    <w:rsid w:val="00956579"/>
    <w:rsid w:val="00956B0D"/>
    <w:rsid w:val="009810DA"/>
    <w:rsid w:val="00985667"/>
    <w:rsid w:val="009C2C8B"/>
    <w:rsid w:val="009D1ED2"/>
    <w:rsid w:val="009D3333"/>
    <w:rsid w:val="00A20396"/>
    <w:rsid w:val="00A245FC"/>
    <w:rsid w:val="00A83E4D"/>
    <w:rsid w:val="00A841EF"/>
    <w:rsid w:val="00AA04EA"/>
    <w:rsid w:val="00AE7ADA"/>
    <w:rsid w:val="00AF4C63"/>
    <w:rsid w:val="00B16D14"/>
    <w:rsid w:val="00B21E18"/>
    <w:rsid w:val="00B74926"/>
    <w:rsid w:val="00B76B4F"/>
    <w:rsid w:val="00B96989"/>
    <w:rsid w:val="00BB053A"/>
    <w:rsid w:val="00BD76A3"/>
    <w:rsid w:val="00BD7D00"/>
    <w:rsid w:val="00BF172F"/>
    <w:rsid w:val="00C00384"/>
    <w:rsid w:val="00C12ECA"/>
    <w:rsid w:val="00C161AA"/>
    <w:rsid w:val="00C31290"/>
    <w:rsid w:val="00C44461"/>
    <w:rsid w:val="00C44CEF"/>
    <w:rsid w:val="00C90355"/>
    <w:rsid w:val="00CA58D6"/>
    <w:rsid w:val="00CB471B"/>
    <w:rsid w:val="00CC082F"/>
    <w:rsid w:val="00D1383A"/>
    <w:rsid w:val="00D25D70"/>
    <w:rsid w:val="00D311B9"/>
    <w:rsid w:val="00D32E78"/>
    <w:rsid w:val="00D80BDF"/>
    <w:rsid w:val="00DA20EC"/>
    <w:rsid w:val="00E011D3"/>
    <w:rsid w:val="00E56413"/>
    <w:rsid w:val="00E733EF"/>
    <w:rsid w:val="00E8285F"/>
    <w:rsid w:val="00F118A8"/>
    <w:rsid w:val="00F142BD"/>
    <w:rsid w:val="00F265E6"/>
    <w:rsid w:val="00F27664"/>
    <w:rsid w:val="00F406F7"/>
    <w:rsid w:val="00F46A6F"/>
    <w:rsid w:val="00F73B38"/>
    <w:rsid w:val="00F96A4C"/>
    <w:rsid w:val="00F9704D"/>
    <w:rsid w:val="00F97C66"/>
    <w:rsid w:val="00FA0527"/>
    <w:rsid w:val="00FB6B13"/>
    <w:rsid w:val="00FC2AB1"/>
    <w:rsid w:val="00FE2866"/>
    <w:rsid w:val="00FF71CD"/>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8CEF02-D1D0-0548-8CBC-11447594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P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F57"/>
    <w:pPr>
      <w:jc w:val="both"/>
    </w:pPr>
    <w:rPr>
      <w:rFonts w:ascii="Arial" w:eastAsia="Microsoft JhengHei" w:hAnsi="Arial" w:cs="Arial"/>
      <w:color w:val="2C2A28"/>
      <w:szCs w:val="26"/>
    </w:rPr>
  </w:style>
  <w:style w:type="paragraph" w:styleId="Ttulo1">
    <w:name w:val="heading 1"/>
    <w:basedOn w:val="Normal"/>
    <w:next w:val="Normal"/>
    <w:link w:val="Ttulo1Car"/>
    <w:uiPriority w:val="9"/>
    <w:qFormat/>
    <w:rsid w:val="00F265E6"/>
    <w:pPr>
      <w:keepNext/>
      <w:keepLines/>
      <w:numPr>
        <w:numId w:val="5"/>
      </w:numPr>
      <w:spacing w:after="240"/>
      <w:outlineLvl w:val="0"/>
    </w:pPr>
    <w:rPr>
      <w:rFonts w:eastAsiaTheme="majorEastAsia"/>
      <w:color w:val="auto"/>
      <w:szCs w:val="24"/>
    </w:rPr>
  </w:style>
  <w:style w:type="paragraph" w:styleId="Ttulo2">
    <w:name w:val="heading 2"/>
    <w:basedOn w:val="Normal"/>
    <w:next w:val="Normal"/>
    <w:link w:val="Ttulo2Car"/>
    <w:uiPriority w:val="9"/>
    <w:unhideWhenUsed/>
    <w:qFormat/>
    <w:rsid w:val="00F265E6"/>
    <w:pPr>
      <w:keepNext/>
      <w:keepLines/>
      <w:numPr>
        <w:ilvl w:val="1"/>
        <w:numId w:val="5"/>
      </w:numPr>
      <w:spacing w:after="240"/>
      <w:outlineLvl w:val="1"/>
    </w:pPr>
    <w:rPr>
      <w:rFonts w:eastAsiaTheme="majorEastAsia"/>
      <w:color w:val="auto"/>
      <w:szCs w:val="24"/>
    </w:rPr>
  </w:style>
  <w:style w:type="paragraph" w:styleId="Ttulo3">
    <w:name w:val="heading 3"/>
    <w:basedOn w:val="Normal"/>
    <w:next w:val="Normal"/>
    <w:link w:val="Ttulo3Car"/>
    <w:uiPriority w:val="9"/>
    <w:unhideWhenUsed/>
    <w:qFormat/>
    <w:rsid w:val="00F265E6"/>
    <w:pPr>
      <w:keepNext/>
      <w:keepLines/>
      <w:numPr>
        <w:ilvl w:val="2"/>
        <w:numId w:val="5"/>
      </w:numPr>
      <w:spacing w:after="240"/>
      <w:outlineLvl w:val="2"/>
    </w:pPr>
    <w:rPr>
      <w:rFonts w:eastAsiaTheme="majorEastAsia"/>
      <w:color w:val="auto"/>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0F6C"/>
    <w:pPr>
      <w:ind w:left="720"/>
      <w:contextualSpacing/>
    </w:pPr>
  </w:style>
  <w:style w:type="character" w:customStyle="1" w:styleId="Ttulo1Car">
    <w:name w:val="Título 1 Car"/>
    <w:basedOn w:val="Fuentedeprrafopredeter"/>
    <w:link w:val="Ttulo1"/>
    <w:uiPriority w:val="9"/>
    <w:rsid w:val="00F265E6"/>
    <w:rPr>
      <w:rFonts w:ascii="Arial" w:eastAsiaTheme="majorEastAsia" w:hAnsi="Arial" w:cs="Arial"/>
    </w:rPr>
  </w:style>
  <w:style w:type="character" w:customStyle="1" w:styleId="Ttulo2Car">
    <w:name w:val="Título 2 Car"/>
    <w:basedOn w:val="Fuentedeprrafopredeter"/>
    <w:link w:val="Ttulo2"/>
    <w:uiPriority w:val="9"/>
    <w:rsid w:val="00F265E6"/>
    <w:rPr>
      <w:rFonts w:ascii="Arial" w:eastAsiaTheme="majorEastAsia" w:hAnsi="Arial" w:cs="Arial"/>
    </w:rPr>
  </w:style>
  <w:style w:type="character" w:customStyle="1" w:styleId="Ttulo3Car">
    <w:name w:val="Título 3 Car"/>
    <w:basedOn w:val="Fuentedeprrafopredeter"/>
    <w:link w:val="Ttulo3"/>
    <w:uiPriority w:val="9"/>
    <w:rsid w:val="00F265E6"/>
    <w:rPr>
      <w:rFonts w:ascii="Arial" w:eastAsiaTheme="majorEastAsia" w:hAnsi="Arial" w:cs="Arial"/>
    </w:rPr>
  </w:style>
  <w:style w:type="table" w:styleId="Tablaconcuadrcula">
    <w:name w:val="Table Grid"/>
    <w:basedOn w:val="Tablanormal"/>
    <w:uiPriority w:val="39"/>
    <w:rsid w:val="00177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66E65"/>
    <w:pPr>
      <w:tabs>
        <w:tab w:val="center" w:pos="4252"/>
        <w:tab w:val="right" w:pos="8504"/>
      </w:tabs>
    </w:pPr>
  </w:style>
  <w:style w:type="character" w:customStyle="1" w:styleId="EncabezadoCar">
    <w:name w:val="Encabezado Car"/>
    <w:basedOn w:val="Fuentedeprrafopredeter"/>
    <w:link w:val="Encabezado"/>
    <w:uiPriority w:val="99"/>
    <w:rsid w:val="00766E65"/>
    <w:rPr>
      <w:rFonts w:ascii="Arial" w:eastAsia="Microsoft JhengHei" w:hAnsi="Arial" w:cs="Arial"/>
      <w:color w:val="2C2A28"/>
      <w:szCs w:val="26"/>
    </w:rPr>
  </w:style>
  <w:style w:type="paragraph" w:styleId="Piedepgina">
    <w:name w:val="footer"/>
    <w:basedOn w:val="Normal"/>
    <w:link w:val="PiedepginaCar"/>
    <w:uiPriority w:val="99"/>
    <w:unhideWhenUsed/>
    <w:rsid w:val="00766E65"/>
    <w:pPr>
      <w:tabs>
        <w:tab w:val="center" w:pos="4252"/>
        <w:tab w:val="right" w:pos="8504"/>
      </w:tabs>
    </w:pPr>
  </w:style>
  <w:style w:type="character" w:customStyle="1" w:styleId="PiedepginaCar">
    <w:name w:val="Pie de página Car"/>
    <w:basedOn w:val="Fuentedeprrafopredeter"/>
    <w:link w:val="Piedepgina"/>
    <w:uiPriority w:val="99"/>
    <w:rsid w:val="00766E65"/>
    <w:rPr>
      <w:rFonts w:ascii="Arial" w:eastAsia="Microsoft JhengHei" w:hAnsi="Arial" w:cs="Arial"/>
      <w:color w:val="2C2A28"/>
      <w:szCs w:val="26"/>
    </w:rPr>
  </w:style>
  <w:style w:type="character" w:styleId="Hipervnculo">
    <w:name w:val="Hyperlink"/>
    <w:basedOn w:val="Fuentedeprrafopredeter"/>
    <w:uiPriority w:val="99"/>
    <w:unhideWhenUsed/>
    <w:rsid w:val="003F4F98"/>
    <w:rPr>
      <w:color w:val="0563C1" w:themeColor="hyperlink"/>
      <w:u w:val="single"/>
    </w:rPr>
  </w:style>
  <w:style w:type="character" w:customStyle="1" w:styleId="UnresolvedMention">
    <w:name w:val="Unresolved Mention"/>
    <w:basedOn w:val="Fuentedeprrafopredeter"/>
    <w:uiPriority w:val="99"/>
    <w:semiHidden/>
    <w:unhideWhenUsed/>
    <w:rsid w:val="003F4F98"/>
    <w:rPr>
      <w:color w:val="808080"/>
      <w:shd w:val="clear" w:color="auto" w:fill="E6E6E6"/>
    </w:rPr>
  </w:style>
  <w:style w:type="paragraph" w:styleId="Textonotapie">
    <w:name w:val="footnote text"/>
    <w:basedOn w:val="Normal"/>
    <w:link w:val="TextonotapieCar"/>
    <w:uiPriority w:val="99"/>
    <w:semiHidden/>
    <w:unhideWhenUsed/>
    <w:rsid w:val="00956579"/>
    <w:rPr>
      <w:sz w:val="20"/>
      <w:szCs w:val="20"/>
    </w:rPr>
  </w:style>
  <w:style w:type="character" w:customStyle="1" w:styleId="TextonotapieCar">
    <w:name w:val="Texto nota pie Car"/>
    <w:basedOn w:val="Fuentedeprrafopredeter"/>
    <w:link w:val="Textonotapie"/>
    <w:uiPriority w:val="99"/>
    <w:semiHidden/>
    <w:rsid w:val="00956579"/>
    <w:rPr>
      <w:rFonts w:ascii="Arial" w:eastAsia="Microsoft JhengHei" w:hAnsi="Arial" w:cs="Arial"/>
      <w:color w:val="2C2A28"/>
      <w:sz w:val="20"/>
      <w:szCs w:val="20"/>
    </w:rPr>
  </w:style>
  <w:style w:type="character" w:styleId="Refdenotaalpie">
    <w:name w:val="footnote reference"/>
    <w:basedOn w:val="Fuentedeprrafopredeter"/>
    <w:uiPriority w:val="99"/>
    <w:semiHidden/>
    <w:unhideWhenUsed/>
    <w:rsid w:val="00956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12568">
      <w:bodyDiv w:val="1"/>
      <w:marLeft w:val="0"/>
      <w:marRight w:val="0"/>
      <w:marTop w:val="0"/>
      <w:marBottom w:val="0"/>
      <w:divBdr>
        <w:top w:val="none" w:sz="0" w:space="0" w:color="auto"/>
        <w:left w:val="none" w:sz="0" w:space="0" w:color="auto"/>
        <w:bottom w:val="none" w:sz="0" w:space="0" w:color="auto"/>
        <w:right w:val="none" w:sz="0" w:space="0" w:color="auto"/>
      </w:divBdr>
    </w:div>
    <w:div w:id="548957156">
      <w:bodyDiv w:val="1"/>
      <w:marLeft w:val="0"/>
      <w:marRight w:val="0"/>
      <w:marTop w:val="0"/>
      <w:marBottom w:val="0"/>
      <w:divBdr>
        <w:top w:val="none" w:sz="0" w:space="0" w:color="auto"/>
        <w:left w:val="none" w:sz="0" w:space="0" w:color="auto"/>
        <w:bottom w:val="none" w:sz="0" w:space="0" w:color="auto"/>
        <w:right w:val="none" w:sz="0" w:space="0" w:color="auto"/>
      </w:divBdr>
      <w:divsChild>
        <w:div w:id="23676106">
          <w:marLeft w:val="0"/>
          <w:marRight w:val="0"/>
          <w:marTop w:val="0"/>
          <w:marBottom w:val="0"/>
          <w:divBdr>
            <w:top w:val="none" w:sz="0" w:space="0" w:color="auto"/>
            <w:left w:val="none" w:sz="0" w:space="0" w:color="auto"/>
            <w:bottom w:val="none" w:sz="0" w:space="0" w:color="auto"/>
            <w:right w:val="none" w:sz="0" w:space="0" w:color="auto"/>
          </w:divBdr>
          <w:divsChild>
            <w:div w:id="1071276549">
              <w:marLeft w:val="0"/>
              <w:marRight w:val="0"/>
              <w:marTop w:val="0"/>
              <w:marBottom w:val="0"/>
              <w:divBdr>
                <w:top w:val="none" w:sz="0" w:space="0" w:color="auto"/>
                <w:left w:val="none" w:sz="0" w:space="0" w:color="auto"/>
                <w:bottom w:val="none" w:sz="0" w:space="0" w:color="auto"/>
                <w:right w:val="none" w:sz="0" w:space="0" w:color="auto"/>
              </w:divBdr>
              <w:divsChild>
                <w:div w:id="8896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54394">
      <w:bodyDiv w:val="1"/>
      <w:marLeft w:val="0"/>
      <w:marRight w:val="0"/>
      <w:marTop w:val="0"/>
      <w:marBottom w:val="0"/>
      <w:divBdr>
        <w:top w:val="none" w:sz="0" w:space="0" w:color="auto"/>
        <w:left w:val="none" w:sz="0" w:space="0" w:color="auto"/>
        <w:bottom w:val="none" w:sz="0" w:space="0" w:color="auto"/>
        <w:right w:val="none" w:sz="0" w:space="0" w:color="auto"/>
      </w:divBdr>
    </w:div>
    <w:div w:id="783810845">
      <w:bodyDiv w:val="1"/>
      <w:marLeft w:val="0"/>
      <w:marRight w:val="0"/>
      <w:marTop w:val="0"/>
      <w:marBottom w:val="0"/>
      <w:divBdr>
        <w:top w:val="none" w:sz="0" w:space="0" w:color="auto"/>
        <w:left w:val="none" w:sz="0" w:space="0" w:color="auto"/>
        <w:bottom w:val="none" w:sz="0" w:space="0" w:color="auto"/>
        <w:right w:val="none" w:sz="0" w:space="0" w:color="auto"/>
      </w:divBdr>
      <w:divsChild>
        <w:div w:id="1678457811">
          <w:marLeft w:val="0"/>
          <w:marRight w:val="0"/>
          <w:marTop w:val="0"/>
          <w:marBottom w:val="0"/>
          <w:divBdr>
            <w:top w:val="none" w:sz="0" w:space="0" w:color="auto"/>
            <w:left w:val="none" w:sz="0" w:space="0" w:color="auto"/>
            <w:bottom w:val="none" w:sz="0" w:space="0" w:color="auto"/>
            <w:right w:val="none" w:sz="0" w:space="0" w:color="auto"/>
          </w:divBdr>
          <w:divsChild>
            <w:div w:id="1509445080">
              <w:marLeft w:val="0"/>
              <w:marRight w:val="0"/>
              <w:marTop w:val="0"/>
              <w:marBottom w:val="0"/>
              <w:divBdr>
                <w:top w:val="none" w:sz="0" w:space="0" w:color="auto"/>
                <w:left w:val="none" w:sz="0" w:space="0" w:color="auto"/>
                <w:bottom w:val="none" w:sz="0" w:space="0" w:color="auto"/>
                <w:right w:val="none" w:sz="0" w:space="0" w:color="auto"/>
              </w:divBdr>
              <w:divsChild>
                <w:div w:id="17579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80056">
      <w:bodyDiv w:val="1"/>
      <w:marLeft w:val="0"/>
      <w:marRight w:val="0"/>
      <w:marTop w:val="0"/>
      <w:marBottom w:val="0"/>
      <w:divBdr>
        <w:top w:val="none" w:sz="0" w:space="0" w:color="auto"/>
        <w:left w:val="none" w:sz="0" w:space="0" w:color="auto"/>
        <w:bottom w:val="none" w:sz="0" w:space="0" w:color="auto"/>
        <w:right w:val="none" w:sz="0" w:space="0" w:color="auto"/>
      </w:divBdr>
    </w:div>
    <w:div w:id="1796366510">
      <w:bodyDiv w:val="1"/>
      <w:marLeft w:val="0"/>
      <w:marRight w:val="0"/>
      <w:marTop w:val="0"/>
      <w:marBottom w:val="0"/>
      <w:divBdr>
        <w:top w:val="none" w:sz="0" w:space="0" w:color="auto"/>
        <w:left w:val="none" w:sz="0" w:space="0" w:color="auto"/>
        <w:bottom w:val="none" w:sz="0" w:space="0" w:color="auto"/>
        <w:right w:val="none" w:sz="0" w:space="0" w:color="auto"/>
      </w:divBdr>
      <w:divsChild>
        <w:div w:id="2103261324">
          <w:marLeft w:val="0"/>
          <w:marRight w:val="0"/>
          <w:marTop w:val="0"/>
          <w:marBottom w:val="0"/>
          <w:divBdr>
            <w:top w:val="none" w:sz="0" w:space="0" w:color="auto"/>
            <w:left w:val="none" w:sz="0" w:space="0" w:color="auto"/>
            <w:bottom w:val="none" w:sz="0" w:space="0" w:color="auto"/>
            <w:right w:val="none" w:sz="0" w:space="0" w:color="auto"/>
          </w:divBdr>
          <w:divsChild>
            <w:div w:id="1178816117">
              <w:marLeft w:val="0"/>
              <w:marRight w:val="0"/>
              <w:marTop w:val="0"/>
              <w:marBottom w:val="0"/>
              <w:divBdr>
                <w:top w:val="none" w:sz="0" w:space="0" w:color="auto"/>
                <w:left w:val="none" w:sz="0" w:space="0" w:color="auto"/>
                <w:bottom w:val="none" w:sz="0" w:space="0" w:color="auto"/>
                <w:right w:val="none" w:sz="0" w:space="0" w:color="auto"/>
              </w:divBdr>
              <w:divsChild>
                <w:div w:id="1634018188">
                  <w:marLeft w:val="0"/>
                  <w:marRight w:val="0"/>
                  <w:marTop w:val="0"/>
                  <w:marBottom w:val="0"/>
                  <w:divBdr>
                    <w:top w:val="none" w:sz="0" w:space="0" w:color="auto"/>
                    <w:left w:val="none" w:sz="0" w:space="0" w:color="auto"/>
                    <w:bottom w:val="none" w:sz="0" w:space="0" w:color="auto"/>
                    <w:right w:val="none" w:sz="0" w:space="0" w:color="auto"/>
                  </w:divBdr>
                  <w:divsChild>
                    <w:div w:id="9789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694C0-FA12-45B1-ACD7-EF1941C6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7197</Words>
  <Characters>39588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Gaspar Fernandez</dc:creator>
  <cp:keywords/>
  <dc:description/>
  <cp:lastModifiedBy>Edmundo Lizarzaburu Bolanos</cp:lastModifiedBy>
  <cp:revision>3</cp:revision>
  <dcterms:created xsi:type="dcterms:W3CDTF">2018-05-07T00:09:00Z</dcterms:created>
  <dcterms:modified xsi:type="dcterms:W3CDTF">2018-05-07T00:13:00Z</dcterms:modified>
</cp:coreProperties>
</file>